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3879" w14:textId="77777777" w:rsidR="003C346B" w:rsidRDefault="003C346B" w:rsidP="003C346B">
      <w:pPr>
        <w:spacing w:after="0" w:line="240" w:lineRule="auto"/>
        <w:jc w:val="center"/>
        <w:rPr>
          <w:rFonts w:ascii="Trebuchet MS" w:eastAsia="Times New Roman" w:hAnsi="Trebuchet MS" w:cs="Times New Roman"/>
          <w:b/>
          <w:sz w:val="28"/>
          <w:szCs w:val="28"/>
        </w:rPr>
      </w:pPr>
    </w:p>
    <w:p w14:paraId="4C883FCA" w14:textId="77777777" w:rsidR="003C346B" w:rsidRDefault="003C346B" w:rsidP="003C346B">
      <w:pPr>
        <w:spacing w:after="0" w:line="240" w:lineRule="auto"/>
        <w:jc w:val="center"/>
        <w:rPr>
          <w:rFonts w:ascii="Trebuchet MS" w:eastAsia="Times New Roman" w:hAnsi="Trebuchet MS" w:cs="Times New Roman"/>
          <w:b/>
          <w:sz w:val="28"/>
          <w:szCs w:val="28"/>
        </w:rPr>
      </w:pPr>
    </w:p>
    <w:p w14:paraId="22040D50" w14:textId="77777777" w:rsidR="003C346B" w:rsidRDefault="003C346B" w:rsidP="003C346B">
      <w:pPr>
        <w:spacing w:after="0" w:line="240" w:lineRule="auto"/>
        <w:jc w:val="center"/>
        <w:rPr>
          <w:rFonts w:ascii="Trebuchet MS" w:eastAsia="Times New Roman" w:hAnsi="Trebuchet MS" w:cs="Times New Roman"/>
          <w:b/>
          <w:sz w:val="28"/>
          <w:szCs w:val="28"/>
        </w:rPr>
      </w:pPr>
    </w:p>
    <w:p w14:paraId="107F833E" w14:textId="77777777" w:rsidR="003C346B" w:rsidRDefault="003C346B" w:rsidP="003C346B">
      <w:pPr>
        <w:spacing w:after="0" w:line="240" w:lineRule="auto"/>
        <w:jc w:val="center"/>
        <w:rPr>
          <w:rFonts w:ascii="Trebuchet MS" w:eastAsia="Times New Roman" w:hAnsi="Trebuchet MS" w:cs="Times New Roman"/>
          <w:b/>
          <w:sz w:val="28"/>
          <w:szCs w:val="28"/>
        </w:rPr>
      </w:pPr>
    </w:p>
    <w:p w14:paraId="06DA9873" w14:textId="77777777" w:rsidR="003C346B" w:rsidRDefault="003C346B" w:rsidP="003C346B">
      <w:pPr>
        <w:spacing w:after="0" w:line="240" w:lineRule="auto"/>
        <w:jc w:val="center"/>
        <w:rPr>
          <w:rFonts w:ascii="Trebuchet MS" w:eastAsia="Times New Roman" w:hAnsi="Trebuchet MS" w:cs="Times New Roman"/>
          <w:b/>
          <w:sz w:val="28"/>
          <w:szCs w:val="28"/>
        </w:rPr>
      </w:pPr>
    </w:p>
    <w:p w14:paraId="0B172CBA" w14:textId="77777777" w:rsidR="003C346B" w:rsidRDefault="003C346B" w:rsidP="003C346B">
      <w:pPr>
        <w:spacing w:after="0" w:line="240" w:lineRule="auto"/>
        <w:jc w:val="center"/>
        <w:rPr>
          <w:rFonts w:ascii="Trebuchet MS" w:eastAsia="Times New Roman" w:hAnsi="Trebuchet MS" w:cs="Times New Roman"/>
          <w:b/>
          <w:sz w:val="28"/>
          <w:szCs w:val="28"/>
        </w:rPr>
      </w:pPr>
    </w:p>
    <w:p w14:paraId="131B90D9" w14:textId="77777777" w:rsidR="003C346B" w:rsidRDefault="003C346B" w:rsidP="003C346B">
      <w:pPr>
        <w:spacing w:after="0" w:line="240" w:lineRule="auto"/>
        <w:jc w:val="center"/>
        <w:rPr>
          <w:rFonts w:ascii="Trebuchet MS" w:eastAsia="Times New Roman" w:hAnsi="Trebuchet MS" w:cs="Times New Roman"/>
          <w:b/>
          <w:sz w:val="28"/>
          <w:szCs w:val="28"/>
        </w:rPr>
      </w:pPr>
    </w:p>
    <w:p w14:paraId="23908DEE" w14:textId="77777777" w:rsidR="003C346B" w:rsidRDefault="003C346B" w:rsidP="003C346B">
      <w:pPr>
        <w:spacing w:after="0" w:line="240" w:lineRule="auto"/>
        <w:jc w:val="center"/>
        <w:rPr>
          <w:rFonts w:ascii="Trebuchet MS" w:eastAsia="Times New Roman" w:hAnsi="Trebuchet MS" w:cs="Times New Roman"/>
          <w:b/>
          <w:sz w:val="28"/>
          <w:szCs w:val="28"/>
        </w:rPr>
      </w:pPr>
    </w:p>
    <w:p w14:paraId="7BA1A6AB" w14:textId="77777777" w:rsidR="003C346B" w:rsidRDefault="003C346B" w:rsidP="003C346B">
      <w:pPr>
        <w:spacing w:after="0" w:line="240" w:lineRule="auto"/>
        <w:jc w:val="center"/>
        <w:rPr>
          <w:rFonts w:ascii="Trebuchet MS" w:eastAsia="Times New Roman" w:hAnsi="Trebuchet MS" w:cs="Times New Roman"/>
          <w:b/>
          <w:sz w:val="28"/>
          <w:szCs w:val="28"/>
        </w:rPr>
      </w:pPr>
    </w:p>
    <w:p w14:paraId="0383EBB4" w14:textId="77777777" w:rsidR="003C346B" w:rsidRDefault="003C346B" w:rsidP="003C346B">
      <w:pPr>
        <w:spacing w:after="0" w:line="240" w:lineRule="auto"/>
        <w:jc w:val="center"/>
        <w:rPr>
          <w:rFonts w:ascii="Trebuchet MS" w:eastAsia="Times New Roman" w:hAnsi="Trebuchet MS" w:cs="Times New Roman"/>
          <w:b/>
          <w:sz w:val="28"/>
          <w:szCs w:val="28"/>
        </w:rPr>
      </w:pPr>
    </w:p>
    <w:p w14:paraId="76F61C59" w14:textId="77777777" w:rsidR="003C346B" w:rsidRDefault="003C346B" w:rsidP="003C346B">
      <w:pPr>
        <w:spacing w:after="0" w:line="240" w:lineRule="auto"/>
        <w:jc w:val="center"/>
        <w:rPr>
          <w:rFonts w:ascii="Trebuchet MS" w:eastAsia="Times New Roman" w:hAnsi="Trebuchet MS" w:cs="Times New Roman"/>
          <w:b/>
          <w:sz w:val="28"/>
          <w:szCs w:val="28"/>
        </w:rPr>
      </w:pPr>
    </w:p>
    <w:p w14:paraId="5AAA78DE" w14:textId="77777777" w:rsidR="003C346B" w:rsidRDefault="003C346B" w:rsidP="003C346B">
      <w:pPr>
        <w:spacing w:after="0" w:line="240" w:lineRule="auto"/>
        <w:jc w:val="center"/>
        <w:rPr>
          <w:rFonts w:ascii="Trebuchet MS" w:eastAsia="Times New Roman" w:hAnsi="Trebuchet MS" w:cs="Times New Roman"/>
          <w:b/>
          <w:sz w:val="28"/>
          <w:szCs w:val="28"/>
        </w:rPr>
      </w:pPr>
    </w:p>
    <w:p w14:paraId="58EBC446" w14:textId="77777777" w:rsidR="003C346B" w:rsidRDefault="003C346B" w:rsidP="003C346B">
      <w:pPr>
        <w:spacing w:after="0" w:line="240" w:lineRule="auto"/>
        <w:jc w:val="center"/>
        <w:rPr>
          <w:rFonts w:ascii="Trebuchet MS" w:eastAsia="Times New Roman" w:hAnsi="Trebuchet MS" w:cs="Times New Roman"/>
          <w:b/>
          <w:sz w:val="28"/>
          <w:szCs w:val="28"/>
        </w:rPr>
      </w:pPr>
    </w:p>
    <w:p w14:paraId="67D59349" w14:textId="77777777" w:rsidR="003C346B" w:rsidRDefault="003C346B" w:rsidP="003C346B">
      <w:pPr>
        <w:spacing w:after="0" w:line="240" w:lineRule="auto"/>
        <w:jc w:val="center"/>
        <w:rPr>
          <w:rFonts w:ascii="Trebuchet MS" w:eastAsia="Times New Roman" w:hAnsi="Trebuchet MS" w:cs="Times New Roman"/>
          <w:b/>
          <w:sz w:val="28"/>
          <w:szCs w:val="28"/>
        </w:rPr>
      </w:pPr>
    </w:p>
    <w:p w14:paraId="078039E7" w14:textId="77777777" w:rsidR="003C346B" w:rsidRDefault="003C346B" w:rsidP="003C346B">
      <w:pPr>
        <w:spacing w:after="0" w:line="240" w:lineRule="auto"/>
        <w:jc w:val="center"/>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Joint Rig Committee</w:t>
      </w:r>
    </w:p>
    <w:p w14:paraId="5D3A1959" w14:textId="77777777" w:rsidR="003C346B" w:rsidRPr="000E37EF" w:rsidRDefault="003C346B" w:rsidP="003C346B">
      <w:pPr>
        <w:spacing w:after="0" w:line="240" w:lineRule="auto"/>
        <w:jc w:val="center"/>
        <w:rPr>
          <w:rFonts w:ascii="Trebuchet MS" w:eastAsia="Times New Roman" w:hAnsi="Trebuchet MS" w:cs="Times New Roman"/>
          <w:b/>
          <w:sz w:val="28"/>
          <w:szCs w:val="28"/>
        </w:rPr>
      </w:pPr>
      <w:r>
        <w:rPr>
          <w:rFonts w:ascii="Trebuchet MS" w:eastAsia="Times New Roman" w:hAnsi="Trebuchet MS" w:cs="Times New Roman"/>
          <w:b/>
          <w:sz w:val="28"/>
          <w:szCs w:val="28"/>
        </w:rPr>
        <w:t>Upstream Property Values &amp; Value Maintenance Guideline</w:t>
      </w:r>
    </w:p>
    <w:p w14:paraId="18EB61A6" w14:textId="77777777" w:rsidR="003C346B" w:rsidRPr="000E37EF" w:rsidRDefault="003C346B" w:rsidP="003C346B">
      <w:pPr>
        <w:rPr>
          <w:rFonts w:ascii="Trebuchet MS" w:hAnsi="Trebuchet MS" w:cs="Trebuchet MS"/>
          <w:b/>
          <w:bCs/>
          <w:sz w:val="28"/>
          <w:szCs w:val="28"/>
        </w:rPr>
      </w:pPr>
    </w:p>
    <w:p w14:paraId="190DC984" w14:textId="77777777" w:rsidR="003C346B" w:rsidRPr="000E37EF" w:rsidRDefault="003C346B" w:rsidP="003C346B">
      <w:pPr>
        <w:rPr>
          <w:rFonts w:ascii="Trebuchet MS" w:hAnsi="Trebuchet MS" w:cs="Trebuchet MS"/>
          <w:b/>
          <w:bCs/>
          <w:sz w:val="28"/>
          <w:szCs w:val="28"/>
        </w:rPr>
      </w:pPr>
    </w:p>
    <w:p w14:paraId="40F886DF" w14:textId="77777777" w:rsidR="003C346B" w:rsidRPr="000E37EF" w:rsidRDefault="003C346B" w:rsidP="003C346B">
      <w:pPr>
        <w:rPr>
          <w:rFonts w:ascii="Trebuchet MS" w:hAnsi="Trebuchet MS" w:cs="Trebuchet MS"/>
          <w:b/>
          <w:bCs/>
          <w:sz w:val="28"/>
          <w:szCs w:val="28"/>
        </w:rPr>
      </w:pPr>
    </w:p>
    <w:tbl>
      <w:tblPr>
        <w:tblStyle w:val="TableGrid"/>
        <w:tblW w:w="0" w:type="auto"/>
        <w:jc w:val="center"/>
        <w:tblLook w:val="04A0" w:firstRow="1" w:lastRow="0" w:firstColumn="1" w:lastColumn="0" w:noHBand="0" w:noVBand="1"/>
      </w:tblPr>
      <w:tblGrid>
        <w:gridCol w:w="1809"/>
        <w:gridCol w:w="2338"/>
        <w:gridCol w:w="1490"/>
        <w:gridCol w:w="2892"/>
      </w:tblGrid>
      <w:tr w:rsidR="003C346B" w:rsidRPr="000E37EF" w14:paraId="0CDA1CCC" w14:textId="77777777" w:rsidTr="003C346B">
        <w:trPr>
          <w:jc w:val="center"/>
        </w:trPr>
        <w:tc>
          <w:tcPr>
            <w:tcW w:w="1809" w:type="dxa"/>
          </w:tcPr>
          <w:p w14:paraId="195B0283" w14:textId="77777777" w:rsidR="003C346B" w:rsidRPr="000E37EF" w:rsidRDefault="003C346B" w:rsidP="00FE2F21">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Name</w:t>
            </w:r>
          </w:p>
        </w:tc>
        <w:tc>
          <w:tcPr>
            <w:tcW w:w="2338" w:type="dxa"/>
          </w:tcPr>
          <w:p w14:paraId="537C2BD6" w14:textId="77777777" w:rsidR="003C346B" w:rsidRPr="000E37EF" w:rsidRDefault="003C346B" w:rsidP="00FE2F21">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Date of issue</w:t>
            </w:r>
          </w:p>
        </w:tc>
        <w:tc>
          <w:tcPr>
            <w:tcW w:w="1490" w:type="dxa"/>
          </w:tcPr>
          <w:p w14:paraId="5DAA9F2F" w14:textId="77777777" w:rsidR="003C346B" w:rsidRPr="000E37EF" w:rsidRDefault="003C346B" w:rsidP="00FE2F21">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Version</w:t>
            </w:r>
          </w:p>
        </w:tc>
        <w:tc>
          <w:tcPr>
            <w:tcW w:w="2892" w:type="dxa"/>
          </w:tcPr>
          <w:p w14:paraId="75A9C43C" w14:textId="77777777" w:rsidR="003C346B" w:rsidRPr="000E37EF" w:rsidRDefault="003C346B" w:rsidP="00FE2F21">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Changes</w:t>
            </w:r>
          </w:p>
        </w:tc>
      </w:tr>
      <w:tr w:rsidR="003C346B" w:rsidRPr="000E37EF" w14:paraId="7308487B" w14:textId="77777777" w:rsidTr="003C346B">
        <w:trPr>
          <w:jc w:val="center"/>
        </w:trPr>
        <w:tc>
          <w:tcPr>
            <w:tcW w:w="1809" w:type="dxa"/>
          </w:tcPr>
          <w:p w14:paraId="268F8046" w14:textId="77777777" w:rsidR="003C346B" w:rsidRPr="000E37EF" w:rsidRDefault="003C346B" w:rsidP="003C346B">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JR2019-003</w:t>
            </w:r>
          </w:p>
        </w:tc>
        <w:tc>
          <w:tcPr>
            <w:tcW w:w="2338" w:type="dxa"/>
          </w:tcPr>
          <w:p w14:paraId="6A38BFD0" w14:textId="77777777" w:rsidR="003C346B" w:rsidRPr="000E37EF" w:rsidRDefault="00017FB4" w:rsidP="00FE2F21">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03 September</w:t>
            </w:r>
            <w:r w:rsidR="003C346B">
              <w:rPr>
                <w:rFonts w:ascii="Trebuchet MS" w:hAnsi="Trebuchet MS" w:cs="Trebuchet MS"/>
                <w:b w:val="0"/>
                <w:sz w:val="22"/>
                <w:szCs w:val="22"/>
              </w:rPr>
              <w:t xml:space="preserve"> 2019</w:t>
            </w:r>
          </w:p>
        </w:tc>
        <w:tc>
          <w:tcPr>
            <w:tcW w:w="1490" w:type="dxa"/>
          </w:tcPr>
          <w:p w14:paraId="1E238C38" w14:textId="77777777" w:rsidR="003C346B" w:rsidRPr="000E37EF" w:rsidRDefault="003C346B" w:rsidP="00FE2F21">
            <w:pPr>
              <w:pStyle w:val="Heading1"/>
              <w:tabs>
                <w:tab w:val="left" w:pos="426"/>
                <w:tab w:val="left" w:pos="567"/>
              </w:tabs>
              <w:autoSpaceDE w:val="0"/>
              <w:spacing w:before="120" w:after="120"/>
              <w:outlineLvl w:val="0"/>
              <w:rPr>
                <w:rFonts w:ascii="Trebuchet MS" w:hAnsi="Trebuchet MS" w:cs="Trebuchet MS"/>
                <w:b w:val="0"/>
                <w:sz w:val="22"/>
                <w:szCs w:val="22"/>
              </w:rPr>
            </w:pPr>
            <w:r w:rsidRPr="000E37EF">
              <w:rPr>
                <w:rFonts w:ascii="Trebuchet MS" w:hAnsi="Trebuchet MS" w:cs="Trebuchet MS"/>
                <w:b w:val="0"/>
                <w:sz w:val="22"/>
                <w:szCs w:val="22"/>
              </w:rPr>
              <w:t>1</w:t>
            </w:r>
          </w:p>
        </w:tc>
        <w:tc>
          <w:tcPr>
            <w:tcW w:w="2892" w:type="dxa"/>
          </w:tcPr>
          <w:p w14:paraId="54C70B45" w14:textId="77777777" w:rsidR="003C346B" w:rsidRPr="000E37EF" w:rsidRDefault="003C346B" w:rsidP="003C346B">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Original</w:t>
            </w:r>
          </w:p>
        </w:tc>
      </w:tr>
    </w:tbl>
    <w:p w14:paraId="1FD17E89" w14:textId="77777777" w:rsidR="003C346B" w:rsidRPr="000E37EF" w:rsidRDefault="003C346B" w:rsidP="003C346B">
      <w:pPr>
        <w:rPr>
          <w:rFonts w:ascii="Trebuchet MS" w:hAnsi="Trebuchet MS" w:cs="Trebuchet MS"/>
          <w:b/>
          <w:bCs/>
          <w:sz w:val="28"/>
          <w:szCs w:val="28"/>
        </w:rPr>
      </w:pPr>
      <w:r w:rsidRPr="000E37EF">
        <w:rPr>
          <w:rFonts w:ascii="Trebuchet MS" w:hAnsi="Trebuchet MS" w:cs="Trebuchet MS"/>
          <w:b/>
          <w:bCs/>
          <w:sz w:val="28"/>
          <w:szCs w:val="28"/>
        </w:rPr>
        <w:br w:type="page"/>
      </w:r>
    </w:p>
    <w:p w14:paraId="42F01E51" w14:textId="77777777" w:rsidR="003C346B" w:rsidRDefault="003C346B" w:rsidP="00643EC1">
      <w:pPr>
        <w:spacing w:after="0" w:line="240" w:lineRule="auto"/>
        <w:rPr>
          <w:sz w:val="28"/>
          <w:szCs w:val="28"/>
        </w:rPr>
        <w:sectPr w:rsidR="003C346B" w:rsidSect="003C346B">
          <w:headerReference w:type="even" r:id="rId7"/>
          <w:headerReference w:type="default" r:id="rId8"/>
          <w:footerReference w:type="even" r:id="rId9"/>
          <w:footerReference w:type="default" r:id="rId10"/>
          <w:headerReference w:type="first" r:id="rId11"/>
          <w:footerReference w:type="first" r:id="rId12"/>
          <w:pgSz w:w="11906" w:h="16838"/>
          <w:pgMar w:top="962" w:right="1276" w:bottom="993" w:left="993" w:header="708" w:footer="267" w:gutter="0"/>
          <w:cols w:space="708"/>
          <w:docGrid w:linePitch="360"/>
        </w:sectPr>
      </w:pPr>
    </w:p>
    <w:p w14:paraId="10C7ED62" w14:textId="77777777" w:rsidR="00EA1255" w:rsidRPr="00D27CF7" w:rsidRDefault="00001314" w:rsidP="00643EC1">
      <w:pPr>
        <w:spacing w:after="0" w:line="240" w:lineRule="auto"/>
        <w:rPr>
          <w:sz w:val="28"/>
          <w:szCs w:val="28"/>
        </w:rPr>
      </w:pPr>
      <w:r w:rsidRPr="00D27CF7">
        <w:rPr>
          <w:sz w:val="28"/>
          <w:szCs w:val="28"/>
        </w:rPr>
        <w:lastRenderedPageBreak/>
        <w:t>Upstream Property Values &amp; Value Maintenance Guideline</w:t>
      </w:r>
      <w:r w:rsidR="00017FB4">
        <w:rPr>
          <w:sz w:val="28"/>
          <w:szCs w:val="28"/>
        </w:rPr>
        <w:t xml:space="preserve"> (</w:t>
      </w:r>
      <w:r w:rsidR="00017FB4" w:rsidRPr="00D27CF7">
        <w:rPr>
          <w:sz w:val="28"/>
          <w:szCs w:val="28"/>
        </w:rPr>
        <w:t>JR2019-</w:t>
      </w:r>
      <w:r w:rsidR="00017FB4">
        <w:rPr>
          <w:sz w:val="28"/>
          <w:szCs w:val="28"/>
        </w:rPr>
        <w:t>003)</w:t>
      </w:r>
    </w:p>
    <w:p w14:paraId="60EA87EA" w14:textId="77777777" w:rsidR="00001314" w:rsidRPr="00D27CF7" w:rsidRDefault="00001314" w:rsidP="00643EC1">
      <w:pPr>
        <w:spacing w:after="0" w:line="240" w:lineRule="auto"/>
        <w:rPr>
          <w:sz w:val="24"/>
          <w:szCs w:val="24"/>
        </w:rPr>
      </w:pPr>
      <w:r w:rsidRPr="00D27CF7">
        <w:rPr>
          <w:sz w:val="24"/>
          <w:szCs w:val="24"/>
        </w:rPr>
        <w:t>Fixed Production Assets</w:t>
      </w:r>
    </w:p>
    <w:p w14:paraId="206D0882" w14:textId="77777777" w:rsidR="00001314" w:rsidRPr="00D27CF7" w:rsidRDefault="00001314" w:rsidP="00643EC1">
      <w:pPr>
        <w:spacing w:after="0" w:line="240" w:lineRule="auto"/>
        <w:rPr>
          <w:sz w:val="16"/>
          <w:szCs w:val="16"/>
        </w:rPr>
      </w:pPr>
    </w:p>
    <w:p w14:paraId="11EC174E" w14:textId="77777777" w:rsidR="00001314" w:rsidRPr="00D27CF7" w:rsidRDefault="00001314" w:rsidP="00643EC1">
      <w:pPr>
        <w:spacing w:after="0" w:line="240" w:lineRule="auto"/>
        <w:rPr>
          <w:sz w:val="16"/>
          <w:szCs w:val="16"/>
        </w:rPr>
      </w:pPr>
      <w:r w:rsidRPr="00D27CF7">
        <w:rPr>
          <w:sz w:val="16"/>
          <w:szCs w:val="16"/>
        </w:rPr>
        <w:t xml:space="preserve">This document has been prepared to provide an overview of upstream property values and value maintenance.  This will assist underwriters to make better informed opinion regarding the accuracy and acceptability of values presented.  This guideline considers the 3 </w:t>
      </w:r>
      <w:r w:rsidR="00792D5E">
        <w:rPr>
          <w:sz w:val="16"/>
          <w:szCs w:val="16"/>
        </w:rPr>
        <w:t>below</w:t>
      </w:r>
      <w:r w:rsidRPr="00D27CF7">
        <w:rPr>
          <w:sz w:val="16"/>
          <w:szCs w:val="16"/>
        </w:rPr>
        <w:t xml:space="preserve"> areas</w:t>
      </w:r>
      <w:r w:rsidR="00836A86">
        <w:rPr>
          <w:sz w:val="16"/>
          <w:szCs w:val="16"/>
        </w:rPr>
        <w:t xml:space="preserve">, emphasising that clarity in all 3 areas be established as part of the </w:t>
      </w:r>
      <w:r w:rsidR="002254C9">
        <w:rPr>
          <w:sz w:val="16"/>
          <w:szCs w:val="16"/>
        </w:rPr>
        <w:t>u</w:t>
      </w:r>
      <w:r w:rsidR="00836A86">
        <w:rPr>
          <w:sz w:val="16"/>
          <w:szCs w:val="16"/>
        </w:rPr>
        <w:t>nderwriting process</w:t>
      </w:r>
      <w:r w:rsidRPr="00D27CF7">
        <w:rPr>
          <w:sz w:val="16"/>
          <w:szCs w:val="16"/>
        </w:rPr>
        <w:t xml:space="preserve">: </w:t>
      </w:r>
    </w:p>
    <w:p w14:paraId="2946C808" w14:textId="77777777" w:rsidR="00001314" w:rsidRPr="00D27CF7" w:rsidRDefault="00001314" w:rsidP="00643EC1">
      <w:pPr>
        <w:spacing w:after="0" w:line="240" w:lineRule="auto"/>
        <w:rPr>
          <w:sz w:val="16"/>
          <w:szCs w:val="16"/>
        </w:rPr>
      </w:pPr>
    </w:p>
    <w:p w14:paraId="1B749354" w14:textId="77777777" w:rsidR="00001314" w:rsidRPr="00D27CF7" w:rsidRDefault="00001314" w:rsidP="00001314">
      <w:pPr>
        <w:pStyle w:val="ListParagraph"/>
        <w:numPr>
          <w:ilvl w:val="0"/>
          <w:numId w:val="1"/>
        </w:numPr>
        <w:spacing w:after="0" w:line="240" w:lineRule="auto"/>
        <w:rPr>
          <w:sz w:val="16"/>
          <w:szCs w:val="16"/>
        </w:rPr>
      </w:pPr>
      <w:r w:rsidRPr="00D27CF7">
        <w:rPr>
          <w:sz w:val="16"/>
          <w:szCs w:val="16"/>
        </w:rPr>
        <w:t>Valuation Basis – that advised by the assured (Operator)</w:t>
      </w:r>
    </w:p>
    <w:p w14:paraId="6244CEBC" w14:textId="77777777" w:rsidR="00001314" w:rsidRDefault="00001314" w:rsidP="00001314">
      <w:pPr>
        <w:pStyle w:val="ListParagraph"/>
        <w:numPr>
          <w:ilvl w:val="0"/>
          <w:numId w:val="1"/>
        </w:numPr>
        <w:spacing w:after="0" w:line="240" w:lineRule="auto"/>
        <w:rPr>
          <w:sz w:val="16"/>
          <w:szCs w:val="16"/>
        </w:rPr>
      </w:pPr>
      <w:r w:rsidRPr="00D27CF7">
        <w:rPr>
          <w:sz w:val="16"/>
          <w:szCs w:val="16"/>
        </w:rPr>
        <w:t>Indexation Basis (Value Maintenance) – that advised by the assured (Operator)</w:t>
      </w:r>
    </w:p>
    <w:p w14:paraId="04BBFE9B" w14:textId="77777777" w:rsidR="00792D5E" w:rsidRPr="00D27CF7" w:rsidRDefault="00792D5E" w:rsidP="00792D5E">
      <w:pPr>
        <w:pStyle w:val="ListParagraph"/>
        <w:numPr>
          <w:ilvl w:val="0"/>
          <w:numId w:val="1"/>
        </w:numPr>
        <w:spacing w:after="0" w:line="240" w:lineRule="auto"/>
        <w:rPr>
          <w:sz w:val="16"/>
          <w:szCs w:val="16"/>
        </w:rPr>
      </w:pPr>
      <w:r w:rsidRPr="00D27CF7">
        <w:rPr>
          <w:sz w:val="16"/>
          <w:szCs w:val="16"/>
        </w:rPr>
        <w:t xml:space="preserve">Coverage Basis – the indemnification basis agreed under the insurance contract </w:t>
      </w:r>
    </w:p>
    <w:p w14:paraId="3B2340E6" w14:textId="77777777" w:rsidR="00001314" w:rsidRPr="00D27CF7" w:rsidRDefault="00001314" w:rsidP="00643EC1">
      <w:pPr>
        <w:spacing w:after="0" w:line="240" w:lineRule="auto"/>
        <w:rPr>
          <w:sz w:val="16"/>
          <w:szCs w:val="16"/>
        </w:rPr>
      </w:pPr>
    </w:p>
    <w:p w14:paraId="527D810F" w14:textId="77777777" w:rsidR="00001314" w:rsidRPr="00D27CF7" w:rsidRDefault="00001314" w:rsidP="00643EC1">
      <w:pPr>
        <w:spacing w:after="0" w:line="240" w:lineRule="auto"/>
        <w:rPr>
          <w:sz w:val="16"/>
          <w:szCs w:val="16"/>
        </w:rPr>
      </w:pPr>
      <w:r w:rsidRPr="00D27CF7">
        <w:rPr>
          <w:sz w:val="16"/>
          <w:szCs w:val="16"/>
        </w:rPr>
        <w:t>The following table considers the variety of methods</w:t>
      </w:r>
      <w:r w:rsidR="00836A86">
        <w:rPr>
          <w:sz w:val="16"/>
          <w:szCs w:val="16"/>
        </w:rPr>
        <w:t>,</w:t>
      </w:r>
      <w:r w:rsidR="0096634E">
        <w:rPr>
          <w:sz w:val="16"/>
          <w:szCs w:val="16"/>
        </w:rPr>
        <w:t xml:space="preserve"> used either singularly or in combination</w:t>
      </w:r>
      <w:r w:rsidR="00836A86">
        <w:rPr>
          <w:sz w:val="16"/>
          <w:szCs w:val="16"/>
        </w:rPr>
        <w:t>,</w:t>
      </w:r>
      <w:r w:rsidRPr="00D27CF7">
        <w:rPr>
          <w:sz w:val="16"/>
          <w:szCs w:val="16"/>
        </w:rPr>
        <w:t xml:space="preserve"> on which the declared value basis being used for coverage purposes can be made.  A ‘traffic light’ approach and relative position within the table is used to provide underwriters with a relative degree of confidence in the valuation.  </w:t>
      </w:r>
    </w:p>
    <w:p w14:paraId="33CCFD8F" w14:textId="77777777" w:rsidR="00001314" w:rsidRPr="00D27CF7" w:rsidRDefault="00001314" w:rsidP="00643EC1">
      <w:pPr>
        <w:spacing w:after="0" w:line="240" w:lineRule="auto"/>
        <w:rPr>
          <w:sz w:val="16"/>
          <w:szCs w:val="16"/>
        </w:rPr>
      </w:pPr>
    </w:p>
    <w:tbl>
      <w:tblPr>
        <w:tblW w:w="140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503"/>
        <w:gridCol w:w="850"/>
        <w:gridCol w:w="8647"/>
      </w:tblGrid>
      <w:tr w:rsidR="00001314" w:rsidRPr="00D27CF7" w14:paraId="42F2C1E8" w14:textId="77777777" w:rsidTr="006E7905">
        <w:tc>
          <w:tcPr>
            <w:tcW w:w="4503" w:type="dxa"/>
            <w:shd w:val="clear" w:color="auto" w:fill="96D0D8"/>
          </w:tcPr>
          <w:p w14:paraId="5A281A02" w14:textId="77777777" w:rsidR="00001314" w:rsidRPr="00D27CF7" w:rsidRDefault="00001314" w:rsidP="00513168">
            <w:pPr>
              <w:spacing w:after="120"/>
              <w:rPr>
                <w:b/>
                <w:color w:val="002060"/>
                <w:sz w:val="20"/>
                <w:szCs w:val="20"/>
              </w:rPr>
            </w:pPr>
            <w:r w:rsidRPr="00D27CF7">
              <w:rPr>
                <w:b/>
                <w:color w:val="002060"/>
                <w:sz w:val="20"/>
                <w:szCs w:val="20"/>
              </w:rPr>
              <w:t xml:space="preserve">Valuation Basis </w:t>
            </w:r>
          </w:p>
        </w:tc>
        <w:tc>
          <w:tcPr>
            <w:tcW w:w="850" w:type="dxa"/>
            <w:shd w:val="clear" w:color="auto" w:fill="96D0D8"/>
          </w:tcPr>
          <w:p w14:paraId="4F7AAE5E" w14:textId="77777777" w:rsidR="00001314" w:rsidRPr="00D27CF7" w:rsidRDefault="00001314" w:rsidP="00513168">
            <w:pPr>
              <w:spacing w:after="120"/>
              <w:rPr>
                <w:b/>
                <w:color w:val="002060"/>
                <w:sz w:val="20"/>
                <w:szCs w:val="20"/>
              </w:rPr>
            </w:pPr>
          </w:p>
        </w:tc>
        <w:tc>
          <w:tcPr>
            <w:tcW w:w="8647" w:type="dxa"/>
            <w:tcBorders>
              <w:bottom w:val="single" w:sz="6" w:space="0" w:color="auto"/>
            </w:tcBorders>
            <w:shd w:val="clear" w:color="auto" w:fill="96D0D8"/>
          </w:tcPr>
          <w:p w14:paraId="30803EB7" w14:textId="77777777" w:rsidR="00001314" w:rsidRPr="00D27CF7" w:rsidRDefault="00001314" w:rsidP="00513168">
            <w:pPr>
              <w:spacing w:after="120"/>
              <w:rPr>
                <w:b/>
                <w:color w:val="002060"/>
                <w:sz w:val="20"/>
                <w:szCs w:val="20"/>
              </w:rPr>
            </w:pPr>
            <w:r w:rsidRPr="00D27CF7">
              <w:rPr>
                <w:b/>
                <w:color w:val="002060"/>
                <w:sz w:val="20"/>
                <w:szCs w:val="20"/>
              </w:rPr>
              <w:t xml:space="preserve">Comment </w:t>
            </w:r>
          </w:p>
        </w:tc>
      </w:tr>
      <w:tr w:rsidR="00001314" w:rsidRPr="00D27CF7" w14:paraId="42B2EB18" w14:textId="77777777" w:rsidTr="006E7905">
        <w:trPr>
          <w:trHeight w:val="220"/>
        </w:trPr>
        <w:tc>
          <w:tcPr>
            <w:tcW w:w="4503" w:type="dxa"/>
            <w:shd w:val="clear" w:color="auto" w:fill="auto"/>
            <w:vAlign w:val="center"/>
          </w:tcPr>
          <w:p w14:paraId="7605A96F" w14:textId="77777777" w:rsidR="00001314" w:rsidRPr="00D27CF7" w:rsidRDefault="00001314" w:rsidP="00001314">
            <w:pPr>
              <w:spacing w:after="0" w:line="240" w:lineRule="auto"/>
              <w:rPr>
                <w:sz w:val="16"/>
                <w:szCs w:val="16"/>
              </w:rPr>
            </w:pPr>
            <w:r w:rsidRPr="00D27CF7">
              <w:rPr>
                <w:sz w:val="16"/>
                <w:szCs w:val="16"/>
              </w:rPr>
              <w:t>New Risk CAR value</w:t>
            </w:r>
          </w:p>
        </w:tc>
        <w:tc>
          <w:tcPr>
            <w:tcW w:w="850" w:type="dxa"/>
            <w:shd w:val="clear" w:color="auto" w:fill="00FF00"/>
            <w:vAlign w:val="center"/>
          </w:tcPr>
          <w:p w14:paraId="52420474"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49B1BD2B" w14:textId="77777777" w:rsidR="00001314" w:rsidRPr="00D27CF7" w:rsidRDefault="00001314" w:rsidP="00001314">
            <w:pPr>
              <w:spacing w:after="0" w:line="240" w:lineRule="auto"/>
              <w:rPr>
                <w:sz w:val="16"/>
                <w:szCs w:val="16"/>
              </w:rPr>
            </w:pPr>
            <w:r w:rsidRPr="00D27CF7">
              <w:rPr>
                <w:sz w:val="16"/>
                <w:szCs w:val="16"/>
              </w:rPr>
              <w:t>Project just coming off construction.</w:t>
            </w:r>
          </w:p>
        </w:tc>
      </w:tr>
      <w:tr w:rsidR="00001314" w:rsidRPr="00D27CF7" w14:paraId="320033E9" w14:textId="77777777" w:rsidTr="006E7905">
        <w:trPr>
          <w:trHeight w:val="240"/>
        </w:trPr>
        <w:tc>
          <w:tcPr>
            <w:tcW w:w="4503" w:type="dxa"/>
            <w:shd w:val="clear" w:color="auto" w:fill="auto"/>
            <w:vAlign w:val="center"/>
          </w:tcPr>
          <w:p w14:paraId="64F1D4B4" w14:textId="77777777" w:rsidR="00001314" w:rsidRPr="00D27CF7" w:rsidRDefault="00001314" w:rsidP="00057F99">
            <w:pPr>
              <w:spacing w:after="0" w:line="240" w:lineRule="auto"/>
              <w:rPr>
                <w:sz w:val="16"/>
                <w:szCs w:val="16"/>
              </w:rPr>
            </w:pPr>
            <w:r w:rsidRPr="00D27CF7">
              <w:rPr>
                <w:sz w:val="16"/>
                <w:szCs w:val="16"/>
              </w:rPr>
              <w:t>Assured adjusted CAR value</w:t>
            </w:r>
          </w:p>
        </w:tc>
        <w:tc>
          <w:tcPr>
            <w:tcW w:w="850" w:type="dxa"/>
            <w:shd w:val="clear" w:color="auto" w:fill="00FF00"/>
            <w:vAlign w:val="center"/>
          </w:tcPr>
          <w:p w14:paraId="2C79E731"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5BA7088F" w14:textId="77777777" w:rsidR="00001314" w:rsidRPr="00D27CF7" w:rsidRDefault="00001314" w:rsidP="00001314">
            <w:pPr>
              <w:spacing w:after="0" w:line="240" w:lineRule="auto"/>
              <w:rPr>
                <w:sz w:val="16"/>
                <w:szCs w:val="16"/>
              </w:rPr>
            </w:pPr>
            <w:r w:rsidRPr="00D27CF7">
              <w:rPr>
                <w:sz w:val="16"/>
                <w:szCs w:val="16"/>
              </w:rPr>
              <w:t>Ideally for assets &lt; 3 old, where values have been adjusted to reflect recent material, labour, installation &amp; engineered cost changes.</w:t>
            </w:r>
          </w:p>
        </w:tc>
      </w:tr>
      <w:tr w:rsidR="00001314" w:rsidRPr="00D27CF7" w14:paraId="4083DDE8" w14:textId="77777777" w:rsidTr="006E7905">
        <w:trPr>
          <w:trHeight w:val="388"/>
        </w:trPr>
        <w:tc>
          <w:tcPr>
            <w:tcW w:w="4503" w:type="dxa"/>
            <w:shd w:val="clear" w:color="auto" w:fill="auto"/>
            <w:vAlign w:val="center"/>
          </w:tcPr>
          <w:p w14:paraId="4CD442F1" w14:textId="77777777" w:rsidR="00001314" w:rsidRPr="00D27CF7" w:rsidRDefault="00001314" w:rsidP="00057F99">
            <w:pPr>
              <w:spacing w:after="0" w:line="240" w:lineRule="auto"/>
              <w:rPr>
                <w:sz w:val="16"/>
                <w:szCs w:val="16"/>
              </w:rPr>
            </w:pPr>
            <w:r w:rsidRPr="00D27CF7">
              <w:rPr>
                <w:sz w:val="16"/>
                <w:szCs w:val="16"/>
              </w:rPr>
              <w:t>Assured benchmarked valuation within last 3 years</w:t>
            </w:r>
          </w:p>
        </w:tc>
        <w:tc>
          <w:tcPr>
            <w:tcW w:w="850" w:type="dxa"/>
            <w:shd w:val="clear" w:color="auto" w:fill="00FF00"/>
            <w:vAlign w:val="center"/>
          </w:tcPr>
          <w:p w14:paraId="0618F477"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066735B4" w14:textId="77777777" w:rsidR="00001314" w:rsidRPr="00D27CF7" w:rsidRDefault="00001314" w:rsidP="00001314">
            <w:pPr>
              <w:spacing w:after="0" w:line="240" w:lineRule="auto"/>
              <w:rPr>
                <w:sz w:val="16"/>
                <w:szCs w:val="16"/>
              </w:rPr>
            </w:pPr>
            <w:r w:rsidRPr="00D27CF7">
              <w:rPr>
                <w:sz w:val="16"/>
                <w:szCs w:val="16"/>
              </w:rPr>
              <w:t>Benchmarking valuation supported by assureds Project and Engineering group, and reflects current construction costs based on actual year of account construction experience.</w:t>
            </w:r>
          </w:p>
        </w:tc>
      </w:tr>
      <w:tr w:rsidR="00001314" w:rsidRPr="00D27CF7" w14:paraId="57AAA16B" w14:textId="77777777" w:rsidTr="006E7905">
        <w:trPr>
          <w:trHeight w:val="238"/>
        </w:trPr>
        <w:tc>
          <w:tcPr>
            <w:tcW w:w="4503" w:type="dxa"/>
            <w:vMerge w:val="restart"/>
            <w:shd w:val="clear" w:color="auto" w:fill="auto"/>
            <w:vAlign w:val="center"/>
          </w:tcPr>
          <w:p w14:paraId="1DE4EADE" w14:textId="77777777" w:rsidR="00001314" w:rsidRPr="00D27CF7" w:rsidRDefault="00001314" w:rsidP="00677998">
            <w:pPr>
              <w:spacing w:after="0" w:line="240" w:lineRule="auto"/>
              <w:rPr>
                <w:sz w:val="16"/>
                <w:szCs w:val="16"/>
              </w:rPr>
            </w:pPr>
            <w:r w:rsidRPr="00D27CF7">
              <w:rPr>
                <w:sz w:val="16"/>
                <w:szCs w:val="16"/>
              </w:rPr>
              <w:t xml:space="preserve">Valuation Company study within the last 3 years  </w:t>
            </w:r>
          </w:p>
        </w:tc>
        <w:tc>
          <w:tcPr>
            <w:tcW w:w="850" w:type="dxa"/>
            <w:shd w:val="clear" w:color="auto" w:fill="00FF00"/>
            <w:vAlign w:val="center"/>
          </w:tcPr>
          <w:p w14:paraId="72131B77" w14:textId="77777777" w:rsidR="00001314" w:rsidRPr="00D27CF7" w:rsidRDefault="00001314" w:rsidP="00001314">
            <w:pPr>
              <w:spacing w:line="240" w:lineRule="auto"/>
              <w:rPr>
                <w:sz w:val="16"/>
                <w:szCs w:val="16"/>
              </w:rPr>
            </w:pPr>
          </w:p>
        </w:tc>
        <w:tc>
          <w:tcPr>
            <w:tcW w:w="8647" w:type="dxa"/>
            <w:vMerge w:val="restart"/>
            <w:tcBorders>
              <w:top w:val="single" w:sz="6" w:space="0" w:color="auto"/>
            </w:tcBorders>
            <w:shd w:val="clear" w:color="auto" w:fill="FFFFFF"/>
            <w:vAlign w:val="center"/>
          </w:tcPr>
          <w:p w14:paraId="621195BF" w14:textId="77777777" w:rsidR="00001314" w:rsidRPr="00D27CF7" w:rsidRDefault="00001314" w:rsidP="00677998">
            <w:pPr>
              <w:spacing w:after="0" w:line="240" w:lineRule="auto"/>
              <w:rPr>
                <w:sz w:val="16"/>
                <w:szCs w:val="16"/>
              </w:rPr>
            </w:pPr>
            <w:r w:rsidRPr="00D27CF7">
              <w:rPr>
                <w:sz w:val="16"/>
                <w:szCs w:val="16"/>
              </w:rPr>
              <w:t>Valuation should be from a reputable Valuation Company with proven recent and relevant experience, and able to demonstrate a current database of reference values.</w:t>
            </w:r>
            <w:r w:rsidR="00677998">
              <w:rPr>
                <w:sz w:val="16"/>
                <w:szCs w:val="16"/>
              </w:rPr>
              <w:t xml:space="preserve">  </w:t>
            </w:r>
            <w:r w:rsidR="00677998" w:rsidRPr="00677998">
              <w:rPr>
                <w:i/>
                <w:sz w:val="16"/>
                <w:szCs w:val="16"/>
              </w:rPr>
              <w:t>(Could be yellow or green – depends on valuation basis / quality of work)</w:t>
            </w:r>
          </w:p>
        </w:tc>
      </w:tr>
      <w:tr w:rsidR="00001314" w:rsidRPr="00D27CF7" w14:paraId="273A517A" w14:textId="77777777" w:rsidTr="006E7905">
        <w:trPr>
          <w:trHeight w:val="244"/>
        </w:trPr>
        <w:tc>
          <w:tcPr>
            <w:tcW w:w="4503" w:type="dxa"/>
            <w:vMerge/>
            <w:shd w:val="clear" w:color="auto" w:fill="auto"/>
            <w:vAlign w:val="center"/>
          </w:tcPr>
          <w:p w14:paraId="47FF6854" w14:textId="77777777" w:rsidR="00001314" w:rsidRPr="00D27CF7" w:rsidRDefault="00001314" w:rsidP="00001314">
            <w:pPr>
              <w:spacing w:after="0" w:line="240" w:lineRule="auto"/>
              <w:rPr>
                <w:sz w:val="16"/>
                <w:szCs w:val="16"/>
              </w:rPr>
            </w:pPr>
          </w:p>
        </w:tc>
        <w:tc>
          <w:tcPr>
            <w:tcW w:w="850" w:type="dxa"/>
            <w:shd w:val="clear" w:color="auto" w:fill="FFFF00"/>
            <w:vAlign w:val="center"/>
          </w:tcPr>
          <w:p w14:paraId="2C522BEB" w14:textId="77777777" w:rsidR="00001314" w:rsidRPr="00D27CF7" w:rsidRDefault="00001314" w:rsidP="00001314">
            <w:pPr>
              <w:spacing w:line="240" w:lineRule="auto"/>
              <w:rPr>
                <w:sz w:val="16"/>
                <w:szCs w:val="16"/>
              </w:rPr>
            </w:pPr>
          </w:p>
        </w:tc>
        <w:tc>
          <w:tcPr>
            <w:tcW w:w="8647" w:type="dxa"/>
            <w:vMerge/>
            <w:tcBorders>
              <w:bottom w:val="single" w:sz="6" w:space="0" w:color="auto"/>
            </w:tcBorders>
            <w:shd w:val="clear" w:color="auto" w:fill="FFFFFF"/>
            <w:vAlign w:val="center"/>
          </w:tcPr>
          <w:p w14:paraId="676BA232" w14:textId="77777777" w:rsidR="00001314" w:rsidRPr="00D27CF7" w:rsidRDefault="00001314" w:rsidP="00001314">
            <w:pPr>
              <w:spacing w:after="0" w:line="240" w:lineRule="auto"/>
              <w:rPr>
                <w:sz w:val="16"/>
                <w:szCs w:val="16"/>
              </w:rPr>
            </w:pPr>
          </w:p>
        </w:tc>
      </w:tr>
      <w:tr w:rsidR="00001314" w:rsidRPr="00D27CF7" w14:paraId="4976F67F" w14:textId="77777777" w:rsidTr="006E7905">
        <w:trPr>
          <w:trHeight w:val="278"/>
        </w:trPr>
        <w:tc>
          <w:tcPr>
            <w:tcW w:w="4503" w:type="dxa"/>
            <w:shd w:val="clear" w:color="auto" w:fill="auto"/>
            <w:vAlign w:val="center"/>
          </w:tcPr>
          <w:p w14:paraId="03546BB9" w14:textId="77777777" w:rsidR="00001314" w:rsidRPr="00D27CF7" w:rsidRDefault="00001314" w:rsidP="00001314">
            <w:pPr>
              <w:spacing w:after="0" w:line="240" w:lineRule="auto"/>
              <w:rPr>
                <w:sz w:val="16"/>
                <w:szCs w:val="16"/>
              </w:rPr>
            </w:pPr>
            <w:r w:rsidRPr="00D27CF7">
              <w:rPr>
                <w:sz w:val="16"/>
                <w:szCs w:val="16"/>
              </w:rPr>
              <w:t>Regional benchmark valuation less than 3 years old</w:t>
            </w:r>
          </w:p>
        </w:tc>
        <w:tc>
          <w:tcPr>
            <w:tcW w:w="850" w:type="dxa"/>
            <w:shd w:val="clear" w:color="auto" w:fill="FFFF00"/>
            <w:vAlign w:val="center"/>
          </w:tcPr>
          <w:p w14:paraId="58B546BC"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3D6792C9" w14:textId="77777777" w:rsidR="00001314" w:rsidRPr="00D27CF7" w:rsidRDefault="00001314" w:rsidP="00001314">
            <w:pPr>
              <w:spacing w:after="0" w:line="240" w:lineRule="auto"/>
              <w:rPr>
                <w:sz w:val="16"/>
                <w:szCs w:val="16"/>
              </w:rPr>
            </w:pPr>
          </w:p>
        </w:tc>
      </w:tr>
      <w:tr w:rsidR="00001314" w:rsidRPr="00D27CF7" w14:paraId="2079586D" w14:textId="77777777" w:rsidTr="006E7905">
        <w:trPr>
          <w:trHeight w:val="415"/>
        </w:trPr>
        <w:tc>
          <w:tcPr>
            <w:tcW w:w="4503" w:type="dxa"/>
            <w:shd w:val="clear" w:color="auto" w:fill="auto"/>
            <w:vAlign w:val="center"/>
          </w:tcPr>
          <w:p w14:paraId="73DB38EE" w14:textId="77777777" w:rsidR="00001314" w:rsidRPr="00D27CF7" w:rsidRDefault="00001314" w:rsidP="00001314">
            <w:pPr>
              <w:spacing w:after="0" w:line="240" w:lineRule="auto"/>
              <w:rPr>
                <w:sz w:val="16"/>
                <w:szCs w:val="16"/>
              </w:rPr>
            </w:pPr>
            <w:r w:rsidRPr="00D27CF7">
              <w:rPr>
                <w:sz w:val="16"/>
                <w:szCs w:val="16"/>
              </w:rPr>
              <w:t>Engineered value based on preferred alternative design in the event of major loss</w:t>
            </w:r>
          </w:p>
        </w:tc>
        <w:tc>
          <w:tcPr>
            <w:tcW w:w="850" w:type="dxa"/>
            <w:shd w:val="clear" w:color="auto" w:fill="FFFF00"/>
            <w:vAlign w:val="center"/>
          </w:tcPr>
          <w:p w14:paraId="3C23F7A6"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4AE07871" w14:textId="77777777" w:rsidR="00001314" w:rsidRPr="00D27CF7" w:rsidRDefault="00001314" w:rsidP="00001314">
            <w:pPr>
              <w:spacing w:after="0" w:line="240" w:lineRule="auto"/>
              <w:rPr>
                <w:sz w:val="16"/>
                <w:szCs w:val="16"/>
              </w:rPr>
            </w:pPr>
            <w:r w:rsidRPr="00D27CF7">
              <w:rPr>
                <w:sz w:val="16"/>
                <w:szCs w:val="16"/>
              </w:rPr>
              <w:t>Preferable to have an Engineered value based on an assured Project and Engineering group costed project.  Some assureds may use commercially available cost estimation products such as Questor or similar.  Concerns should start to be raised as to the risk of a total constructive loss arising from a partial loss scenario.</w:t>
            </w:r>
          </w:p>
        </w:tc>
      </w:tr>
      <w:tr w:rsidR="00001314" w:rsidRPr="00D27CF7" w14:paraId="7AE91424" w14:textId="77777777" w:rsidTr="006E7905">
        <w:trPr>
          <w:trHeight w:val="319"/>
        </w:trPr>
        <w:tc>
          <w:tcPr>
            <w:tcW w:w="4503" w:type="dxa"/>
            <w:shd w:val="clear" w:color="auto" w:fill="auto"/>
            <w:vAlign w:val="center"/>
          </w:tcPr>
          <w:p w14:paraId="6A420B1D" w14:textId="77777777" w:rsidR="00001314" w:rsidRPr="00D27CF7" w:rsidRDefault="00001314" w:rsidP="00001314">
            <w:pPr>
              <w:spacing w:after="0" w:line="240" w:lineRule="auto"/>
              <w:rPr>
                <w:sz w:val="16"/>
                <w:szCs w:val="16"/>
              </w:rPr>
            </w:pPr>
            <w:r w:rsidRPr="00D27CF7">
              <w:rPr>
                <w:sz w:val="16"/>
                <w:szCs w:val="16"/>
              </w:rPr>
              <w:t>Function of NPV of remaining recoverable reserves</w:t>
            </w:r>
          </w:p>
        </w:tc>
        <w:tc>
          <w:tcPr>
            <w:tcW w:w="850" w:type="dxa"/>
            <w:shd w:val="clear" w:color="auto" w:fill="FFFF00"/>
            <w:vAlign w:val="center"/>
          </w:tcPr>
          <w:p w14:paraId="02B13640"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637AD924" w14:textId="77777777" w:rsidR="00001314" w:rsidRPr="00D27CF7" w:rsidRDefault="00001314" w:rsidP="00001314">
            <w:pPr>
              <w:spacing w:after="0" w:line="240" w:lineRule="auto"/>
              <w:rPr>
                <w:sz w:val="16"/>
                <w:szCs w:val="16"/>
              </w:rPr>
            </w:pPr>
          </w:p>
        </w:tc>
      </w:tr>
      <w:tr w:rsidR="00001314" w:rsidRPr="00D27CF7" w14:paraId="42E7D2E9" w14:textId="77777777" w:rsidTr="006E7905">
        <w:trPr>
          <w:trHeight w:val="312"/>
        </w:trPr>
        <w:tc>
          <w:tcPr>
            <w:tcW w:w="4503" w:type="dxa"/>
            <w:shd w:val="clear" w:color="auto" w:fill="auto"/>
            <w:vAlign w:val="center"/>
          </w:tcPr>
          <w:p w14:paraId="5AB6A6A8" w14:textId="77777777" w:rsidR="00001314" w:rsidRPr="00D27CF7" w:rsidRDefault="00001314" w:rsidP="00001314">
            <w:pPr>
              <w:spacing w:after="0" w:line="240" w:lineRule="auto"/>
              <w:rPr>
                <w:sz w:val="16"/>
                <w:szCs w:val="16"/>
              </w:rPr>
            </w:pPr>
            <w:r w:rsidRPr="00D27CF7">
              <w:rPr>
                <w:sz w:val="16"/>
                <w:szCs w:val="16"/>
              </w:rPr>
              <w:t>Assured benchmarked valuation greater than 3 years old</w:t>
            </w:r>
          </w:p>
        </w:tc>
        <w:tc>
          <w:tcPr>
            <w:tcW w:w="850" w:type="dxa"/>
            <w:shd w:val="clear" w:color="auto" w:fill="FF0000"/>
            <w:vAlign w:val="center"/>
          </w:tcPr>
          <w:p w14:paraId="2C24655B"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0B51243C" w14:textId="77777777" w:rsidR="00001314" w:rsidRPr="00D27CF7" w:rsidRDefault="00001314" w:rsidP="00001314">
            <w:pPr>
              <w:spacing w:after="0" w:line="240" w:lineRule="auto"/>
              <w:rPr>
                <w:sz w:val="16"/>
                <w:szCs w:val="16"/>
              </w:rPr>
            </w:pPr>
          </w:p>
        </w:tc>
      </w:tr>
      <w:tr w:rsidR="00001314" w:rsidRPr="00D27CF7" w14:paraId="1204A428" w14:textId="77777777" w:rsidTr="006E7905">
        <w:trPr>
          <w:trHeight w:val="318"/>
        </w:trPr>
        <w:tc>
          <w:tcPr>
            <w:tcW w:w="4503" w:type="dxa"/>
            <w:shd w:val="clear" w:color="auto" w:fill="auto"/>
            <w:vAlign w:val="center"/>
          </w:tcPr>
          <w:p w14:paraId="52930890" w14:textId="77777777" w:rsidR="00001314" w:rsidRPr="00D27CF7" w:rsidRDefault="00001314" w:rsidP="00001314">
            <w:pPr>
              <w:spacing w:after="0" w:line="240" w:lineRule="auto"/>
              <w:rPr>
                <w:sz w:val="16"/>
                <w:szCs w:val="16"/>
              </w:rPr>
            </w:pPr>
            <w:r w:rsidRPr="00D27CF7">
              <w:rPr>
                <w:sz w:val="16"/>
                <w:szCs w:val="16"/>
              </w:rPr>
              <w:t>Valuation company study greater than 3 years old</w:t>
            </w:r>
          </w:p>
        </w:tc>
        <w:tc>
          <w:tcPr>
            <w:tcW w:w="850" w:type="dxa"/>
            <w:shd w:val="clear" w:color="auto" w:fill="FF0000"/>
            <w:vAlign w:val="center"/>
          </w:tcPr>
          <w:p w14:paraId="6DBC66EF"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6FC5CADE" w14:textId="77777777" w:rsidR="00001314" w:rsidRPr="00D27CF7" w:rsidRDefault="00001314" w:rsidP="00001314">
            <w:pPr>
              <w:spacing w:after="0" w:line="240" w:lineRule="auto"/>
              <w:rPr>
                <w:sz w:val="16"/>
                <w:szCs w:val="16"/>
              </w:rPr>
            </w:pPr>
          </w:p>
        </w:tc>
      </w:tr>
      <w:tr w:rsidR="00001314" w:rsidRPr="00D27CF7" w14:paraId="02304399" w14:textId="77777777" w:rsidTr="006E7905">
        <w:trPr>
          <w:trHeight w:val="310"/>
        </w:trPr>
        <w:tc>
          <w:tcPr>
            <w:tcW w:w="4503" w:type="dxa"/>
            <w:shd w:val="clear" w:color="auto" w:fill="auto"/>
            <w:vAlign w:val="center"/>
          </w:tcPr>
          <w:p w14:paraId="571A4F99" w14:textId="77777777" w:rsidR="00001314" w:rsidRPr="00D27CF7" w:rsidRDefault="00001314" w:rsidP="00057F99">
            <w:pPr>
              <w:spacing w:after="0" w:line="240" w:lineRule="auto"/>
              <w:rPr>
                <w:sz w:val="16"/>
                <w:szCs w:val="16"/>
              </w:rPr>
            </w:pPr>
            <w:r w:rsidRPr="00D27CF7">
              <w:rPr>
                <w:sz w:val="16"/>
                <w:szCs w:val="16"/>
              </w:rPr>
              <w:t>Regional benchmark valuation greater than 3 years old</w:t>
            </w:r>
          </w:p>
        </w:tc>
        <w:tc>
          <w:tcPr>
            <w:tcW w:w="850" w:type="dxa"/>
            <w:shd w:val="clear" w:color="auto" w:fill="FF0000"/>
            <w:vAlign w:val="center"/>
          </w:tcPr>
          <w:p w14:paraId="276C7BD9"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07D7F074" w14:textId="77777777" w:rsidR="00001314" w:rsidRPr="00D27CF7" w:rsidRDefault="00001314" w:rsidP="00001314">
            <w:pPr>
              <w:spacing w:after="0" w:line="240" w:lineRule="auto"/>
              <w:rPr>
                <w:sz w:val="16"/>
                <w:szCs w:val="16"/>
              </w:rPr>
            </w:pPr>
          </w:p>
        </w:tc>
      </w:tr>
      <w:tr w:rsidR="00001314" w:rsidRPr="00D27CF7" w14:paraId="78FB7805" w14:textId="77777777" w:rsidTr="006E7905">
        <w:trPr>
          <w:trHeight w:val="315"/>
        </w:trPr>
        <w:tc>
          <w:tcPr>
            <w:tcW w:w="4503" w:type="dxa"/>
            <w:shd w:val="clear" w:color="auto" w:fill="auto"/>
            <w:vAlign w:val="center"/>
          </w:tcPr>
          <w:p w14:paraId="109DF391" w14:textId="77777777" w:rsidR="00001314" w:rsidRPr="00D27CF7" w:rsidRDefault="00001314" w:rsidP="00001314">
            <w:pPr>
              <w:spacing w:after="0" w:line="240" w:lineRule="auto"/>
              <w:rPr>
                <w:sz w:val="16"/>
                <w:szCs w:val="16"/>
              </w:rPr>
            </w:pPr>
            <w:r w:rsidRPr="00D27CF7">
              <w:rPr>
                <w:sz w:val="16"/>
                <w:szCs w:val="16"/>
              </w:rPr>
              <w:t>Depreciated/accounting value (book value)</w:t>
            </w:r>
          </w:p>
        </w:tc>
        <w:tc>
          <w:tcPr>
            <w:tcW w:w="850" w:type="dxa"/>
            <w:shd w:val="clear" w:color="auto" w:fill="FF0000"/>
            <w:vAlign w:val="center"/>
          </w:tcPr>
          <w:p w14:paraId="1695B0E3" w14:textId="77777777" w:rsidR="00001314" w:rsidRPr="00D27CF7" w:rsidRDefault="00001314" w:rsidP="00001314">
            <w:pPr>
              <w:spacing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07AFA938" w14:textId="77777777" w:rsidR="00001314" w:rsidRPr="00D27CF7" w:rsidRDefault="00001314" w:rsidP="00001314">
            <w:pPr>
              <w:spacing w:after="0" w:line="240" w:lineRule="auto"/>
              <w:rPr>
                <w:sz w:val="16"/>
                <w:szCs w:val="16"/>
              </w:rPr>
            </w:pPr>
          </w:p>
        </w:tc>
      </w:tr>
      <w:tr w:rsidR="00001314" w:rsidRPr="00D27CF7" w14:paraId="7C74B04E" w14:textId="77777777" w:rsidTr="006E7905">
        <w:trPr>
          <w:trHeight w:val="322"/>
        </w:trPr>
        <w:tc>
          <w:tcPr>
            <w:tcW w:w="4503" w:type="dxa"/>
            <w:shd w:val="clear" w:color="auto" w:fill="auto"/>
            <w:vAlign w:val="center"/>
          </w:tcPr>
          <w:p w14:paraId="62385E3C" w14:textId="77777777" w:rsidR="00001314" w:rsidRPr="00D27CF7" w:rsidRDefault="00001314" w:rsidP="00001314">
            <w:pPr>
              <w:spacing w:after="0" w:line="240" w:lineRule="auto"/>
              <w:rPr>
                <w:sz w:val="16"/>
                <w:szCs w:val="16"/>
              </w:rPr>
            </w:pPr>
            <w:r w:rsidRPr="00D27CF7">
              <w:rPr>
                <w:sz w:val="16"/>
                <w:szCs w:val="16"/>
              </w:rPr>
              <w:t>Uncertain provenance – not recorded</w:t>
            </w:r>
          </w:p>
        </w:tc>
        <w:tc>
          <w:tcPr>
            <w:tcW w:w="850" w:type="dxa"/>
            <w:shd w:val="clear" w:color="auto" w:fill="FF0000"/>
            <w:vAlign w:val="center"/>
          </w:tcPr>
          <w:p w14:paraId="27841EE8" w14:textId="77777777" w:rsidR="00001314" w:rsidRPr="00D27CF7" w:rsidRDefault="00001314" w:rsidP="00001314">
            <w:pPr>
              <w:spacing w:line="240" w:lineRule="auto"/>
              <w:rPr>
                <w:sz w:val="16"/>
                <w:szCs w:val="16"/>
              </w:rPr>
            </w:pPr>
          </w:p>
        </w:tc>
        <w:tc>
          <w:tcPr>
            <w:tcW w:w="8647" w:type="dxa"/>
            <w:tcBorders>
              <w:top w:val="single" w:sz="6" w:space="0" w:color="auto"/>
              <w:bottom w:val="single" w:sz="12" w:space="0" w:color="auto"/>
            </w:tcBorders>
            <w:shd w:val="clear" w:color="auto" w:fill="FFFFFF"/>
            <w:vAlign w:val="center"/>
          </w:tcPr>
          <w:p w14:paraId="12A26E78" w14:textId="77777777" w:rsidR="00001314" w:rsidRPr="00D27CF7" w:rsidRDefault="00001314" w:rsidP="00001314">
            <w:pPr>
              <w:spacing w:after="0" w:line="240" w:lineRule="auto"/>
              <w:rPr>
                <w:sz w:val="16"/>
                <w:szCs w:val="16"/>
              </w:rPr>
            </w:pPr>
          </w:p>
        </w:tc>
      </w:tr>
    </w:tbl>
    <w:p w14:paraId="239CA1D0" w14:textId="77777777" w:rsidR="00001314" w:rsidRPr="00D27CF7" w:rsidRDefault="00001314" w:rsidP="00643EC1">
      <w:pPr>
        <w:spacing w:after="0" w:line="240" w:lineRule="auto"/>
      </w:pPr>
    </w:p>
    <w:p w14:paraId="4AF87D9B" w14:textId="77777777" w:rsidR="006E7905" w:rsidRPr="00D27CF7" w:rsidRDefault="006E7905" w:rsidP="00643EC1">
      <w:pPr>
        <w:spacing w:after="0" w:line="240" w:lineRule="auto"/>
        <w:rPr>
          <w:i/>
          <w:sz w:val="16"/>
          <w:szCs w:val="16"/>
        </w:rPr>
      </w:pPr>
      <w:r w:rsidRPr="00D27CF7">
        <w:rPr>
          <w:i/>
          <w:sz w:val="16"/>
          <w:szCs w:val="16"/>
        </w:rPr>
        <w:t xml:space="preserve">For the purposes of this guideline, a 3 year time period has been taken as a key differentiator in valuation basis quality.  In practice this will be highly sensitive to recent global and industry economic trends, and as such subject to variation. </w:t>
      </w:r>
    </w:p>
    <w:p w14:paraId="39F7835E" w14:textId="77777777" w:rsidR="006E7905" w:rsidRDefault="006E7905" w:rsidP="00643EC1">
      <w:pPr>
        <w:spacing w:after="0" w:line="240" w:lineRule="auto"/>
        <w:rPr>
          <w:i/>
          <w:sz w:val="16"/>
          <w:szCs w:val="16"/>
        </w:rPr>
      </w:pPr>
    </w:p>
    <w:p w14:paraId="677781BE" w14:textId="77777777" w:rsidR="00792D5E" w:rsidRPr="00D27CF7" w:rsidRDefault="00792D5E" w:rsidP="00643EC1">
      <w:pPr>
        <w:spacing w:after="0" w:line="240" w:lineRule="auto"/>
        <w:rPr>
          <w:i/>
          <w:sz w:val="16"/>
          <w:szCs w:val="16"/>
        </w:rPr>
      </w:pPr>
    </w:p>
    <w:p w14:paraId="6EB932A2" w14:textId="77777777" w:rsidR="006E7905" w:rsidRPr="00D27CF7" w:rsidRDefault="006E7905" w:rsidP="00D27CF7">
      <w:pPr>
        <w:spacing w:after="0" w:line="240" w:lineRule="auto"/>
        <w:rPr>
          <w:sz w:val="16"/>
          <w:szCs w:val="16"/>
        </w:rPr>
      </w:pPr>
      <w:r w:rsidRPr="00D27CF7">
        <w:rPr>
          <w:sz w:val="16"/>
          <w:szCs w:val="16"/>
        </w:rPr>
        <w:t>The following table considers the variety of methods on which the valuation is indexed (inflated) in periods between formal valuations.    A ‘traffic light’ approach and relative position within the table is used to provide the Underwriter with a relative degree of confidence in the valuation in terms of both accuracy and acceptability.</w:t>
      </w:r>
    </w:p>
    <w:p w14:paraId="51D85E2C" w14:textId="77777777" w:rsidR="00D27CF7" w:rsidRPr="00D27CF7" w:rsidRDefault="00D27CF7" w:rsidP="00D27CF7">
      <w:pPr>
        <w:spacing w:after="0" w:line="240" w:lineRule="auto"/>
        <w:rPr>
          <w:sz w:val="16"/>
          <w:szCs w:val="16"/>
        </w:rPr>
      </w:pPr>
    </w:p>
    <w:tbl>
      <w:tblPr>
        <w:tblW w:w="140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503"/>
        <w:gridCol w:w="850"/>
        <w:gridCol w:w="8647"/>
      </w:tblGrid>
      <w:tr w:rsidR="006E7905" w:rsidRPr="00D27CF7" w14:paraId="7D434C28" w14:textId="77777777" w:rsidTr="00D27CF7">
        <w:tc>
          <w:tcPr>
            <w:tcW w:w="4503" w:type="dxa"/>
            <w:shd w:val="clear" w:color="auto" w:fill="96D0D8"/>
          </w:tcPr>
          <w:p w14:paraId="74A1986C" w14:textId="77777777" w:rsidR="006E7905" w:rsidRPr="00D27CF7" w:rsidRDefault="006E7905" w:rsidP="00D27CF7">
            <w:pPr>
              <w:spacing w:after="0" w:line="240" w:lineRule="auto"/>
              <w:rPr>
                <w:b/>
                <w:color w:val="002060"/>
                <w:sz w:val="20"/>
                <w:szCs w:val="20"/>
              </w:rPr>
            </w:pPr>
            <w:r w:rsidRPr="00D27CF7">
              <w:rPr>
                <w:b/>
                <w:color w:val="002060"/>
                <w:sz w:val="20"/>
                <w:szCs w:val="20"/>
              </w:rPr>
              <w:t xml:space="preserve">Indexation Basis </w:t>
            </w:r>
          </w:p>
        </w:tc>
        <w:tc>
          <w:tcPr>
            <w:tcW w:w="850" w:type="dxa"/>
            <w:shd w:val="clear" w:color="auto" w:fill="96D0D8"/>
          </w:tcPr>
          <w:p w14:paraId="76614A49" w14:textId="77777777" w:rsidR="006E7905" w:rsidRPr="00D27CF7" w:rsidRDefault="006E7905" w:rsidP="00D27CF7">
            <w:pPr>
              <w:spacing w:after="0" w:line="240" w:lineRule="auto"/>
              <w:rPr>
                <w:b/>
                <w:color w:val="002060"/>
                <w:sz w:val="20"/>
                <w:szCs w:val="20"/>
              </w:rPr>
            </w:pPr>
          </w:p>
        </w:tc>
        <w:tc>
          <w:tcPr>
            <w:tcW w:w="8647" w:type="dxa"/>
            <w:tcBorders>
              <w:bottom w:val="single" w:sz="6" w:space="0" w:color="auto"/>
            </w:tcBorders>
            <w:shd w:val="clear" w:color="auto" w:fill="96D0D8"/>
          </w:tcPr>
          <w:p w14:paraId="0D6BD7D2" w14:textId="77777777" w:rsidR="006E7905" w:rsidRPr="00D27CF7" w:rsidRDefault="006E7905" w:rsidP="00D27CF7">
            <w:pPr>
              <w:spacing w:after="0" w:line="240" w:lineRule="auto"/>
              <w:rPr>
                <w:b/>
                <w:color w:val="002060"/>
                <w:sz w:val="20"/>
                <w:szCs w:val="20"/>
              </w:rPr>
            </w:pPr>
            <w:r w:rsidRPr="00D27CF7">
              <w:rPr>
                <w:b/>
                <w:color w:val="002060"/>
                <w:sz w:val="20"/>
                <w:szCs w:val="20"/>
              </w:rPr>
              <w:t xml:space="preserve">Comment </w:t>
            </w:r>
          </w:p>
        </w:tc>
      </w:tr>
      <w:tr w:rsidR="006E7905" w:rsidRPr="00D27CF7" w14:paraId="4A035736" w14:textId="77777777" w:rsidTr="00057F99">
        <w:trPr>
          <w:trHeight w:val="513"/>
        </w:trPr>
        <w:tc>
          <w:tcPr>
            <w:tcW w:w="4503" w:type="dxa"/>
            <w:shd w:val="clear" w:color="auto" w:fill="auto"/>
            <w:vAlign w:val="center"/>
          </w:tcPr>
          <w:p w14:paraId="19CD9591" w14:textId="77777777" w:rsidR="006E7905" w:rsidRPr="00D27CF7" w:rsidRDefault="006E7905" w:rsidP="00057F99">
            <w:pPr>
              <w:spacing w:after="0" w:line="240" w:lineRule="auto"/>
              <w:rPr>
                <w:sz w:val="16"/>
                <w:szCs w:val="16"/>
              </w:rPr>
            </w:pPr>
            <w:r w:rsidRPr="00D27CF7">
              <w:rPr>
                <w:sz w:val="16"/>
                <w:szCs w:val="16"/>
              </w:rPr>
              <w:t>Company specific index based on own CAR project information</w:t>
            </w:r>
          </w:p>
        </w:tc>
        <w:tc>
          <w:tcPr>
            <w:tcW w:w="850" w:type="dxa"/>
            <w:shd w:val="clear" w:color="auto" w:fill="00FF00"/>
            <w:vAlign w:val="center"/>
          </w:tcPr>
          <w:p w14:paraId="7EEF990A" w14:textId="77777777" w:rsidR="006E7905" w:rsidRPr="00D27CF7" w:rsidRDefault="006E7905" w:rsidP="00057F99">
            <w:pPr>
              <w:spacing w:after="0"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48CF0BC5" w14:textId="77777777" w:rsidR="006E7905" w:rsidRPr="00D27CF7" w:rsidRDefault="006E7905" w:rsidP="00057F99">
            <w:pPr>
              <w:spacing w:after="0" w:line="240" w:lineRule="auto"/>
              <w:rPr>
                <w:sz w:val="16"/>
                <w:szCs w:val="16"/>
              </w:rPr>
            </w:pPr>
            <w:r w:rsidRPr="00D27CF7">
              <w:rPr>
                <w:sz w:val="16"/>
                <w:szCs w:val="16"/>
              </w:rPr>
              <w:t>Usually maintained by a large IOC or NOC.</w:t>
            </w:r>
          </w:p>
        </w:tc>
      </w:tr>
      <w:tr w:rsidR="006E7905" w:rsidRPr="00D27CF7" w14:paraId="2CC2560D" w14:textId="77777777" w:rsidTr="00057F99">
        <w:trPr>
          <w:trHeight w:val="513"/>
        </w:trPr>
        <w:tc>
          <w:tcPr>
            <w:tcW w:w="4503" w:type="dxa"/>
            <w:shd w:val="clear" w:color="auto" w:fill="auto"/>
            <w:vAlign w:val="center"/>
          </w:tcPr>
          <w:p w14:paraId="7D3599DD" w14:textId="77777777" w:rsidR="006E7905" w:rsidRPr="00D27CF7" w:rsidRDefault="006E7905" w:rsidP="00057F99">
            <w:pPr>
              <w:spacing w:after="0" w:line="240" w:lineRule="auto"/>
              <w:rPr>
                <w:sz w:val="16"/>
                <w:szCs w:val="16"/>
              </w:rPr>
            </w:pPr>
            <w:r w:rsidRPr="00D27CF7">
              <w:rPr>
                <w:sz w:val="16"/>
                <w:szCs w:val="16"/>
              </w:rPr>
              <w:t>Bespoke third party provided index</w:t>
            </w:r>
          </w:p>
        </w:tc>
        <w:tc>
          <w:tcPr>
            <w:tcW w:w="850" w:type="dxa"/>
            <w:shd w:val="clear" w:color="auto" w:fill="00FF00"/>
            <w:vAlign w:val="center"/>
          </w:tcPr>
          <w:p w14:paraId="0C5CBF08" w14:textId="77777777" w:rsidR="006E7905" w:rsidRPr="00D27CF7" w:rsidRDefault="006E7905" w:rsidP="00057F99">
            <w:pPr>
              <w:spacing w:after="0"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5D19403D" w14:textId="77777777" w:rsidR="006E7905" w:rsidRPr="00D27CF7" w:rsidRDefault="006E7905" w:rsidP="00057F99">
            <w:pPr>
              <w:spacing w:after="0" w:line="240" w:lineRule="auto"/>
              <w:rPr>
                <w:sz w:val="16"/>
                <w:szCs w:val="16"/>
              </w:rPr>
            </w:pPr>
            <w:r w:rsidRPr="00D27CF7">
              <w:rPr>
                <w:sz w:val="16"/>
                <w:szCs w:val="16"/>
              </w:rPr>
              <w:t xml:space="preserve">e.g. CERA UCCI – company, asset type &amp; regional specific. </w:t>
            </w:r>
          </w:p>
        </w:tc>
      </w:tr>
      <w:tr w:rsidR="006E7905" w:rsidRPr="00D27CF7" w14:paraId="5EF13FF8" w14:textId="77777777" w:rsidTr="00057F99">
        <w:trPr>
          <w:trHeight w:val="555"/>
        </w:trPr>
        <w:tc>
          <w:tcPr>
            <w:tcW w:w="4503" w:type="dxa"/>
            <w:shd w:val="clear" w:color="auto" w:fill="auto"/>
            <w:vAlign w:val="center"/>
          </w:tcPr>
          <w:p w14:paraId="366C0E29" w14:textId="77777777" w:rsidR="00057F99" w:rsidRDefault="00057F99" w:rsidP="00057F99">
            <w:pPr>
              <w:spacing w:after="0" w:line="240" w:lineRule="auto"/>
              <w:rPr>
                <w:sz w:val="16"/>
                <w:szCs w:val="16"/>
              </w:rPr>
            </w:pPr>
            <w:r>
              <w:rPr>
                <w:sz w:val="16"/>
                <w:szCs w:val="16"/>
              </w:rPr>
              <w:t xml:space="preserve">Upstream specific </w:t>
            </w:r>
            <w:r w:rsidR="006E7905" w:rsidRPr="00D27CF7">
              <w:rPr>
                <w:sz w:val="16"/>
                <w:szCs w:val="16"/>
              </w:rPr>
              <w:t xml:space="preserve">– global indexation </w:t>
            </w:r>
          </w:p>
          <w:p w14:paraId="6A6801C6" w14:textId="77777777" w:rsidR="006E7905" w:rsidRPr="00D27CF7" w:rsidRDefault="006E7905" w:rsidP="00057F99">
            <w:pPr>
              <w:spacing w:after="0" w:line="240" w:lineRule="auto"/>
              <w:rPr>
                <w:sz w:val="16"/>
                <w:szCs w:val="16"/>
              </w:rPr>
            </w:pPr>
            <w:r w:rsidRPr="00D27CF7">
              <w:rPr>
                <w:sz w:val="16"/>
                <w:szCs w:val="16"/>
              </w:rPr>
              <w:t>(publicly available data)</w:t>
            </w:r>
          </w:p>
        </w:tc>
        <w:tc>
          <w:tcPr>
            <w:tcW w:w="850" w:type="dxa"/>
            <w:shd w:val="clear" w:color="auto" w:fill="FFFF00"/>
            <w:vAlign w:val="center"/>
          </w:tcPr>
          <w:p w14:paraId="331902B0" w14:textId="77777777" w:rsidR="006E7905" w:rsidRPr="00D27CF7" w:rsidRDefault="006E7905" w:rsidP="00057F99">
            <w:pPr>
              <w:spacing w:after="0" w:line="240" w:lineRule="auto"/>
              <w:rPr>
                <w:sz w:val="16"/>
                <w:szCs w:val="16"/>
              </w:rPr>
            </w:pPr>
          </w:p>
        </w:tc>
        <w:tc>
          <w:tcPr>
            <w:tcW w:w="8647" w:type="dxa"/>
            <w:tcBorders>
              <w:bottom w:val="single" w:sz="6" w:space="0" w:color="auto"/>
            </w:tcBorders>
            <w:shd w:val="clear" w:color="auto" w:fill="FFFFFF"/>
            <w:vAlign w:val="center"/>
          </w:tcPr>
          <w:p w14:paraId="6188FA25" w14:textId="77777777" w:rsidR="006E7905" w:rsidRPr="00D27CF7" w:rsidRDefault="006E7905" w:rsidP="00057F99">
            <w:pPr>
              <w:spacing w:after="0" w:line="240" w:lineRule="auto"/>
              <w:rPr>
                <w:sz w:val="16"/>
                <w:szCs w:val="16"/>
              </w:rPr>
            </w:pPr>
            <w:r w:rsidRPr="00D27CF7">
              <w:rPr>
                <w:sz w:val="16"/>
                <w:szCs w:val="16"/>
              </w:rPr>
              <w:t xml:space="preserve">Caution is drawn to indexation that is based on generic </w:t>
            </w:r>
            <w:proofErr w:type="spellStart"/>
            <w:r w:rsidRPr="00D27CF7">
              <w:rPr>
                <w:sz w:val="16"/>
                <w:szCs w:val="16"/>
              </w:rPr>
              <w:t>public</w:t>
            </w:r>
            <w:r w:rsidR="00D27CF7" w:rsidRPr="00D27CF7">
              <w:rPr>
                <w:sz w:val="16"/>
                <w:szCs w:val="16"/>
              </w:rPr>
              <w:t>ally</w:t>
            </w:r>
            <w:proofErr w:type="spellEnd"/>
            <w:r w:rsidR="00D27CF7" w:rsidRPr="00D27CF7">
              <w:rPr>
                <w:sz w:val="16"/>
                <w:szCs w:val="16"/>
              </w:rPr>
              <w:t xml:space="preserve"> availably CERA UCCI data. </w:t>
            </w:r>
          </w:p>
        </w:tc>
      </w:tr>
      <w:tr w:rsidR="006E7905" w:rsidRPr="00D27CF7" w14:paraId="7E61FF47" w14:textId="77777777" w:rsidTr="00057F99">
        <w:trPr>
          <w:trHeight w:val="555"/>
        </w:trPr>
        <w:tc>
          <w:tcPr>
            <w:tcW w:w="4503" w:type="dxa"/>
            <w:shd w:val="clear" w:color="auto" w:fill="auto"/>
            <w:vAlign w:val="center"/>
          </w:tcPr>
          <w:p w14:paraId="683007D3" w14:textId="77777777" w:rsidR="006E7905" w:rsidRPr="00D27CF7" w:rsidRDefault="006E7905" w:rsidP="00057F99">
            <w:pPr>
              <w:spacing w:after="0" w:line="240" w:lineRule="auto"/>
              <w:rPr>
                <w:sz w:val="16"/>
                <w:szCs w:val="16"/>
              </w:rPr>
            </w:pPr>
            <w:r w:rsidRPr="00D27CF7">
              <w:rPr>
                <w:sz w:val="16"/>
                <w:szCs w:val="16"/>
              </w:rPr>
              <w:t xml:space="preserve">Other Energy industry index but not offshore specific </w:t>
            </w:r>
          </w:p>
        </w:tc>
        <w:tc>
          <w:tcPr>
            <w:tcW w:w="850" w:type="dxa"/>
            <w:shd w:val="clear" w:color="auto" w:fill="FFFF00"/>
            <w:vAlign w:val="center"/>
          </w:tcPr>
          <w:p w14:paraId="15A917BA" w14:textId="77777777" w:rsidR="006E7905" w:rsidRPr="00D27CF7" w:rsidRDefault="006E7905" w:rsidP="00057F99">
            <w:pPr>
              <w:spacing w:after="0" w:line="240" w:lineRule="auto"/>
              <w:rPr>
                <w:sz w:val="16"/>
                <w:szCs w:val="16"/>
              </w:rPr>
            </w:pPr>
          </w:p>
        </w:tc>
        <w:tc>
          <w:tcPr>
            <w:tcW w:w="8647" w:type="dxa"/>
            <w:tcBorders>
              <w:bottom w:val="single" w:sz="6" w:space="0" w:color="auto"/>
            </w:tcBorders>
            <w:shd w:val="clear" w:color="auto" w:fill="FFFFFF"/>
            <w:vAlign w:val="center"/>
          </w:tcPr>
          <w:p w14:paraId="12FFE788" w14:textId="77777777" w:rsidR="006E7905" w:rsidRPr="00D27CF7" w:rsidRDefault="006E7905" w:rsidP="00057F99">
            <w:pPr>
              <w:spacing w:after="0" w:line="240" w:lineRule="auto"/>
              <w:rPr>
                <w:sz w:val="16"/>
                <w:szCs w:val="16"/>
              </w:rPr>
            </w:pPr>
            <w:r w:rsidRPr="00D27CF7">
              <w:rPr>
                <w:sz w:val="16"/>
                <w:szCs w:val="16"/>
              </w:rPr>
              <w:t xml:space="preserve">It is noted that traditional indexation such as Nelson Farrar Index may not be supported going forward. </w:t>
            </w:r>
          </w:p>
        </w:tc>
      </w:tr>
      <w:tr w:rsidR="006E7905" w:rsidRPr="00D27CF7" w14:paraId="01103D0A" w14:textId="77777777" w:rsidTr="00057F99">
        <w:trPr>
          <w:trHeight w:val="415"/>
        </w:trPr>
        <w:tc>
          <w:tcPr>
            <w:tcW w:w="4503" w:type="dxa"/>
            <w:shd w:val="clear" w:color="auto" w:fill="auto"/>
            <w:vAlign w:val="center"/>
          </w:tcPr>
          <w:p w14:paraId="108B53D0" w14:textId="77777777" w:rsidR="006E7905" w:rsidRPr="00D27CF7" w:rsidRDefault="006E7905" w:rsidP="00057F99">
            <w:pPr>
              <w:spacing w:after="0" w:line="240" w:lineRule="auto"/>
              <w:rPr>
                <w:sz w:val="16"/>
                <w:szCs w:val="16"/>
              </w:rPr>
            </w:pPr>
            <w:r w:rsidRPr="00D27CF7">
              <w:rPr>
                <w:sz w:val="16"/>
                <w:szCs w:val="16"/>
              </w:rPr>
              <w:t>Other recognised market index – please state</w:t>
            </w:r>
          </w:p>
        </w:tc>
        <w:tc>
          <w:tcPr>
            <w:tcW w:w="850" w:type="dxa"/>
            <w:shd w:val="clear" w:color="auto" w:fill="FFFF00"/>
            <w:vAlign w:val="center"/>
          </w:tcPr>
          <w:p w14:paraId="4C1B0058" w14:textId="77777777" w:rsidR="006E7905" w:rsidRPr="00D27CF7" w:rsidRDefault="006E7905" w:rsidP="00057F99">
            <w:pPr>
              <w:spacing w:after="0" w:line="240" w:lineRule="auto"/>
              <w:rPr>
                <w:sz w:val="16"/>
                <w:szCs w:val="16"/>
              </w:rPr>
            </w:pPr>
          </w:p>
        </w:tc>
        <w:tc>
          <w:tcPr>
            <w:tcW w:w="8647" w:type="dxa"/>
            <w:tcBorders>
              <w:top w:val="single" w:sz="6" w:space="0" w:color="auto"/>
              <w:bottom w:val="single" w:sz="6" w:space="0" w:color="auto"/>
            </w:tcBorders>
            <w:shd w:val="clear" w:color="auto" w:fill="FFFFFF"/>
            <w:vAlign w:val="center"/>
          </w:tcPr>
          <w:p w14:paraId="42E90922" w14:textId="77777777" w:rsidR="006E7905" w:rsidRPr="00D27CF7" w:rsidRDefault="006E7905" w:rsidP="00057F99">
            <w:pPr>
              <w:spacing w:after="0" w:line="240" w:lineRule="auto"/>
              <w:rPr>
                <w:sz w:val="16"/>
                <w:szCs w:val="16"/>
              </w:rPr>
            </w:pPr>
          </w:p>
        </w:tc>
      </w:tr>
      <w:tr w:rsidR="006E7905" w:rsidRPr="00D27CF7" w14:paraId="221F7FB3" w14:textId="77777777" w:rsidTr="00057F99">
        <w:trPr>
          <w:trHeight w:val="413"/>
        </w:trPr>
        <w:tc>
          <w:tcPr>
            <w:tcW w:w="4503" w:type="dxa"/>
            <w:shd w:val="clear" w:color="auto" w:fill="auto"/>
            <w:vAlign w:val="center"/>
          </w:tcPr>
          <w:p w14:paraId="67025A62" w14:textId="77777777" w:rsidR="006E7905" w:rsidRPr="00D27CF7" w:rsidRDefault="006E7905" w:rsidP="00057F99">
            <w:pPr>
              <w:spacing w:after="0" w:line="240" w:lineRule="auto"/>
              <w:rPr>
                <w:sz w:val="16"/>
                <w:szCs w:val="16"/>
              </w:rPr>
            </w:pPr>
            <w:r w:rsidRPr="00D27CF7">
              <w:rPr>
                <w:sz w:val="16"/>
                <w:szCs w:val="16"/>
              </w:rPr>
              <w:t>No indexation or assumed figure (without basis)</w:t>
            </w:r>
          </w:p>
        </w:tc>
        <w:tc>
          <w:tcPr>
            <w:tcW w:w="850" w:type="dxa"/>
            <w:shd w:val="clear" w:color="auto" w:fill="FF0000"/>
            <w:vAlign w:val="center"/>
          </w:tcPr>
          <w:p w14:paraId="605252D1" w14:textId="77777777" w:rsidR="006E7905" w:rsidRPr="00D27CF7" w:rsidRDefault="006E7905" w:rsidP="00057F99">
            <w:pPr>
              <w:spacing w:after="0" w:line="240" w:lineRule="auto"/>
              <w:rPr>
                <w:sz w:val="16"/>
                <w:szCs w:val="16"/>
              </w:rPr>
            </w:pPr>
          </w:p>
        </w:tc>
        <w:tc>
          <w:tcPr>
            <w:tcW w:w="8647" w:type="dxa"/>
            <w:tcBorders>
              <w:top w:val="single" w:sz="6" w:space="0" w:color="auto"/>
              <w:bottom w:val="single" w:sz="12" w:space="0" w:color="auto"/>
            </w:tcBorders>
            <w:shd w:val="clear" w:color="auto" w:fill="FFFFFF"/>
            <w:vAlign w:val="center"/>
          </w:tcPr>
          <w:p w14:paraId="514012D6" w14:textId="77777777" w:rsidR="006E7905" w:rsidRPr="00D27CF7" w:rsidRDefault="006E7905" w:rsidP="00057F99">
            <w:pPr>
              <w:spacing w:after="0" w:line="240" w:lineRule="auto"/>
              <w:rPr>
                <w:sz w:val="16"/>
                <w:szCs w:val="16"/>
              </w:rPr>
            </w:pPr>
          </w:p>
        </w:tc>
      </w:tr>
    </w:tbl>
    <w:p w14:paraId="2D72B558" w14:textId="77777777" w:rsidR="00D27CF7" w:rsidRPr="00D27CF7" w:rsidRDefault="00D27CF7" w:rsidP="00D27CF7">
      <w:pPr>
        <w:spacing w:after="0" w:line="240" w:lineRule="auto"/>
        <w:rPr>
          <w:b/>
          <w:sz w:val="16"/>
          <w:szCs w:val="16"/>
        </w:rPr>
      </w:pPr>
    </w:p>
    <w:p w14:paraId="24A3B71B" w14:textId="77777777" w:rsidR="00836A86" w:rsidRPr="00836A86" w:rsidRDefault="00836A86" w:rsidP="00836A86">
      <w:pPr>
        <w:spacing w:after="0" w:line="240" w:lineRule="auto"/>
        <w:rPr>
          <w:sz w:val="16"/>
          <w:szCs w:val="16"/>
        </w:rPr>
      </w:pPr>
      <w:r w:rsidRPr="00836A86">
        <w:rPr>
          <w:sz w:val="16"/>
          <w:szCs w:val="16"/>
        </w:rPr>
        <w:t>A by inspection ‘a</w:t>
      </w:r>
      <w:r w:rsidR="006E7905" w:rsidRPr="00836A86">
        <w:rPr>
          <w:sz w:val="16"/>
          <w:szCs w:val="16"/>
        </w:rPr>
        <w:t>ggregated’</w:t>
      </w:r>
      <w:r w:rsidRPr="00836A86">
        <w:rPr>
          <w:sz w:val="16"/>
          <w:szCs w:val="16"/>
        </w:rPr>
        <w:t xml:space="preserve"> approach should be used to combine the output of Valuation and Coverage Basis, resulting in the </w:t>
      </w:r>
      <w:proofErr w:type="spellStart"/>
      <w:r w:rsidRPr="00836A86">
        <w:rPr>
          <w:sz w:val="16"/>
          <w:szCs w:val="16"/>
        </w:rPr>
        <w:t>the</w:t>
      </w:r>
      <w:proofErr w:type="spellEnd"/>
      <w:r w:rsidRPr="00836A86">
        <w:rPr>
          <w:sz w:val="16"/>
          <w:szCs w:val="16"/>
        </w:rPr>
        <w:t xml:space="preserve"> below general outcomes: </w:t>
      </w:r>
    </w:p>
    <w:p w14:paraId="37B43AE2" w14:textId="77777777" w:rsidR="00836A86" w:rsidRPr="00836A86" w:rsidRDefault="00836A86" w:rsidP="00D27CF7">
      <w:pPr>
        <w:spacing w:after="0" w:line="240" w:lineRule="auto"/>
        <w:rPr>
          <w:sz w:val="16"/>
          <w:szCs w:val="16"/>
          <w:highlight w:val="green"/>
        </w:rPr>
      </w:pPr>
    </w:p>
    <w:p w14:paraId="1843D329" w14:textId="77777777" w:rsidR="006E7905" w:rsidRPr="00D27CF7" w:rsidRDefault="006E7905" w:rsidP="00836A86">
      <w:pPr>
        <w:spacing w:after="0" w:line="240" w:lineRule="auto"/>
        <w:ind w:left="720"/>
        <w:rPr>
          <w:sz w:val="16"/>
          <w:szCs w:val="16"/>
        </w:rPr>
      </w:pPr>
      <w:r w:rsidRPr="00D27CF7">
        <w:rPr>
          <w:sz w:val="16"/>
          <w:szCs w:val="16"/>
          <w:highlight w:val="green"/>
        </w:rPr>
        <w:t>Green</w:t>
      </w:r>
      <w:r w:rsidRPr="00D27CF7">
        <w:rPr>
          <w:sz w:val="16"/>
          <w:szCs w:val="16"/>
        </w:rPr>
        <w:t xml:space="preserve"> – best case valuation likely to be +/- 10%</w:t>
      </w:r>
    </w:p>
    <w:p w14:paraId="7D088450" w14:textId="77777777" w:rsidR="006E7905" w:rsidRPr="00D27CF7" w:rsidRDefault="006E7905" w:rsidP="00836A86">
      <w:pPr>
        <w:spacing w:after="0" w:line="240" w:lineRule="auto"/>
        <w:ind w:left="720"/>
        <w:rPr>
          <w:sz w:val="16"/>
          <w:szCs w:val="16"/>
        </w:rPr>
      </w:pPr>
      <w:r w:rsidRPr="00D27CF7">
        <w:rPr>
          <w:sz w:val="16"/>
          <w:szCs w:val="16"/>
          <w:highlight w:val="yellow"/>
        </w:rPr>
        <w:t>Yellow</w:t>
      </w:r>
      <w:r w:rsidRPr="00D27CF7">
        <w:rPr>
          <w:sz w:val="16"/>
          <w:szCs w:val="16"/>
        </w:rPr>
        <w:t xml:space="preserve"> – valuation accuracy diminished and insurers in more of a first loss position</w:t>
      </w:r>
    </w:p>
    <w:p w14:paraId="4AC8E8A6" w14:textId="77777777" w:rsidR="006E7905" w:rsidRDefault="006E7905" w:rsidP="00836A86">
      <w:pPr>
        <w:spacing w:after="0" w:line="240" w:lineRule="auto"/>
        <w:ind w:left="720"/>
        <w:rPr>
          <w:sz w:val="16"/>
          <w:szCs w:val="16"/>
        </w:rPr>
      </w:pPr>
      <w:r w:rsidRPr="00D27CF7">
        <w:rPr>
          <w:sz w:val="16"/>
          <w:szCs w:val="16"/>
          <w:highlight w:val="red"/>
        </w:rPr>
        <w:t>Red</w:t>
      </w:r>
      <w:r w:rsidRPr="00D27CF7">
        <w:rPr>
          <w:sz w:val="16"/>
          <w:szCs w:val="16"/>
        </w:rPr>
        <w:t xml:space="preserve"> – potential for significant under-valuation / first loss</w:t>
      </w:r>
    </w:p>
    <w:p w14:paraId="1891FE40" w14:textId="77777777" w:rsidR="00836A86" w:rsidRPr="00D27CF7" w:rsidRDefault="00836A86" w:rsidP="00836A86">
      <w:pPr>
        <w:spacing w:after="0" w:line="240" w:lineRule="auto"/>
        <w:ind w:left="720"/>
        <w:rPr>
          <w:sz w:val="16"/>
          <w:szCs w:val="16"/>
        </w:rPr>
      </w:pPr>
    </w:p>
    <w:p w14:paraId="33D39DD7" w14:textId="77777777" w:rsidR="00836A86" w:rsidRPr="00836A86" w:rsidRDefault="00836A86" w:rsidP="00D27CF7">
      <w:pPr>
        <w:rPr>
          <w:sz w:val="16"/>
          <w:szCs w:val="16"/>
        </w:rPr>
      </w:pPr>
      <w:r w:rsidRPr="00836A86">
        <w:rPr>
          <w:sz w:val="16"/>
          <w:szCs w:val="16"/>
        </w:rPr>
        <w:t>Where concerns are identified</w:t>
      </w:r>
      <w:r>
        <w:rPr>
          <w:sz w:val="16"/>
          <w:szCs w:val="16"/>
        </w:rPr>
        <w:t>, assureds are to be encouraged to conduct ‘baseline’ valuations studies</w:t>
      </w:r>
      <w:r w:rsidR="002254C9">
        <w:rPr>
          <w:sz w:val="16"/>
          <w:szCs w:val="16"/>
        </w:rPr>
        <w:t xml:space="preserve">, incentivised with </w:t>
      </w:r>
      <w:r w:rsidR="0081530F">
        <w:rPr>
          <w:sz w:val="16"/>
          <w:szCs w:val="16"/>
        </w:rPr>
        <w:t>policy or wording conditions.</w:t>
      </w:r>
      <w:r w:rsidR="002254C9">
        <w:rPr>
          <w:sz w:val="16"/>
          <w:szCs w:val="16"/>
        </w:rPr>
        <w:t xml:space="preserve"> </w:t>
      </w:r>
      <w:r>
        <w:rPr>
          <w:sz w:val="16"/>
          <w:szCs w:val="16"/>
        </w:rPr>
        <w:t xml:space="preserve"> </w:t>
      </w:r>
    </w:p>
    <w:p w14:paraId="585B0A9C" w14:textId="77777777" w:rsidR="00836A86" w:rsidRPr="00836A86" w:rsidRDefault="00836A86" w:rsidP="00D27CF7">
      <w:pPr>
        <w:rPr>
          <w:sz w:val="16"/>
          <w:szCs w:val="16"/>
        </w:rPr>
      </w:pPr>
    </w:p>
    <w:p w14:paraId="37B2E3C8" w14:textId="77777777" w:rsidR="00D27CF7" w:rsidRDefault="00D27CF7" w:rsidP="00D27CF7">
      <w:pPr>
        <w:rPr>
          <w:i/>
          <w:sz w:val="16"/>
          <w:szCs w:val="16"/>
        </w:rPr>
      </w:pPr>
    </w:p>
    <w:p w14:paraId="64D932B7" w14:textId="77777777" w:rsidR="00D27CF7" w:rsidRDefault="00D27CF7" w:rsidP="00D27CF7">
      <w:pPr>
        <w:rPr>
          <w:i/>
          <w:sz w:val="16"/>
          <w:szCs w:val="16"/>
        </w:rPr>
      </w:pPr>
    </w:p>
    <w:p w14:paraId="7B7B861F" w14:textId="77777777" w:rsidR="00D27CF7" w:rsidRPr="00D27CF7" w:rsidRDefault="00D27CF7" w:rsidP="00D27CF7">
      <w:pPr>
        <w:rPr>
          <w:i/>
          <w:sz w:val="16"/>
          <w:szCs w:val="16"/>
        </w:rPr>
        <w:sectPr w:rsidR="00D27CF7" w:rsidRPr="00D27CF7" w:rsidSect="003C346B">
          <w:pgSz w:w="16838" w:h="11906" w:orient="landscape"/>
          <w:pgMar w:top="993" w:right="962" w:bottom="1276" w:left="993" w:header="708" w:footer="267" w:gutter="0"/>
          <w:cols w:space="708"/>
          <w:docGrid w:linePitch="360"/>
        </w:sectPr>
      </w:pPr>
    </w:p>
    <w:p w14:paraId="4CD545D4" w14:textId="77777777" w:rsidR="006E7905" w:rsidRDefault="006E7905" w:rsidP="006E7905">
      <w:pPr>
        <w:spacing w:after="0" w:line="240" w:lineRule="auto"/>
        <w:rPr>
          <w:b/>
        </w:rPr>
      </w:pPr>
      <w:r w:rsidRPr="00D27CF7">
        <w:rPr>
          <w:b/>
        </w:rPr>
        <w:lastRenderedPageBreak/>
        <w:t xml:space="preserve">Coverage Basis  </w:t>
      </w:r>
    </w:p>
    <w:p w14:paraId="2CE4A584" w14:textId="77777777" w:rsidR="00A42AAA" w:rsidRDefault="00A42AAA" w:rsidP="00792D5E">
      <w:pPr>
        <w:spacing w:after="0" w:line="240" w:lineRule="auto"/>
        <w:rPr>
          <w:sz w:val="16"/>
          <w:szCs w:val="16"/>
        </w:rPr>
      </w:pPr>
    </w:p>
    <w:p w14:paraId="5AAE8813" w14:textId="77777777" w:rsidR="00792D5E" w:rsidRPr="00792D5E" w:rsidRDefault="00792D5E" w:rsidP="00792D5E">
      <w:pPr>
        <w:spacing w:after="0" w:line="240" w:lineRule="auto"/>
        <w:rPr>
          <w:sz w:val="16"/>
          <w:szCs w:val="16"/>
        </w:rPr>
      </w:pPr>
      <w:r w:rsidRPr="00792D5E">
        <w:rPr>
          <w:sz w:val="16"/>
          <w:szCs w:val="16"/>
        </w:rPr>
        <w:t>It is generally accepted that the Operator is best placed to determine and recommend an insured value for a given asset, and also in the case of jointly owned assets to make such valuation known to other non-operating partners.</w:t>
      </w:r>
      <w:r>
        <w:rPr>
          <w:sz w:val="16"/>
          <w:szCs w:val="16"/>
        </w:rPr>
        <w:t xml:space="preserve">  With regards to coverage basis advice from an insurance professional needs to be sought as this will have significant implications in the event if claim</w:t>
      </w:r>
      <w:r w:rsidR="00677998">
        <w:rPr>
          <w:sz w:val="16"/>
          <w:szCs w:val="16"/>
        </w:rPr>
        <w:t>.</w:t>
      </w:r>
      <w:r w:rsidR="00A96A39">
        <w:rPr>
          <w:sz w:val="16"/>
          <w:szCs w:val="16"/>
        </w:rPr>
        <w:t xml:space="preserve">  </w:t>
      </w:r>
      <w:r w:rsidRPr="00792D5E">
        <w:rPr>
          <w:sz w:val="16"/>
          <w:szCs w:val="16"/>
        </w:rPr>
        <w:t>Ideally a common basis of valuation and coverage should be the preferred position between JV partners, although it is acknowledged that there are many cases where different insured values are adopted by individual partners, reflecting both different perspectives with regards to costs incurred in a loss scenario, and individual insurance philosophy.</w:t>
      </w:r>
    </w:p>
    <w:p w14:paraId="74A739E9" w14:textId="77777777" w:rsidR="00D27CF7" w:rsidRPr="00792D5E" w:rsidRDefault="00D27CF7" w:rsidP="00D27CF7">
      <w:pPr>
        <w:spacing w:after="0" w:line="240" w:lineRule="auto"/>
        <w:rPr>
          <w:sz w:val="16"/>
          <w:szCs w:val="16"/>
        </w:rPr>
      </w:pPr>
    </w:p>
    <w:p w14:paraId="4E6586E5" w14:textId="77777777" w:rsidR="00D27CF7" w:rsidRPr="00792D5E" w:rsidRDefault="00D27CF7" w:rsidP="00A42AAA">
      <w:pPr>
        <w:spacing w:after="0" w:line="240" w:lineRule="auto"/>
        <w:rPr>
          <w:sz w:val="16"/>
          <w:szCs w:val="16"/>
        </w:rPr>
      </w:pPr>
      <w:r w:rsidRPr="00792D5E">
        <w:rPr>
          <w:sz w:val="16"/>
          <w:szCs w:val="16"/>
        </w:rPr>
        <w:t>It is noted that an assured may use combinations of the below, reflecting the diversity of asset age and type within a given portfolio.</w:t>
      </w:r>
    </w:p>
    <w:p w14:paraId="27F4E4B9" w14:textId="77777777" w:rsidR="006E7905" w:rsidRDefault="006E7905" w:rsidP="006E7905">
      <w:pPr>
        <w:spacing w:after="0" w:line="240" w:lineRule="auto"/>
        <w:rPr>
          <w:sz w:val="16"/>
          <w:szCs w:val="16"/>
        </w:rPr>
      </w:pPr>
    </w:p>
    <w:p w14:paraId="78F74566" w14:textId="77777777" w:rsidR="00A42AAA" w:rsidRPr="00792D5E" w:rsidRDefault="00A42AAA" w:rsidP="006E7905">
      <w:pPr>
        <w:spacing w:after="0" w:line="240" w:lineRule="auto"/>
        <w:rPr>
          <w:sz w:val="16"/>
          <w:szCs w:val="16"/>
        </w:rPr>
      </w:pPr>
    </w:p>
    <w:p w14:paraId="412E6319" w14:textId="77777777" w:rsidR="00D27CF7" w:rsidRPr="00792D5E" w:rsidRDefault="006E7905" w:rsidP="00D27CF7">
      <w:pPr>
        <w:spacing w:after="0" w:line="240" w:lineRule="auto"/>
        <w:rPr>
          <w:b/>
          <w:sz w:val="16"/>
          <w:szCs w:val="16"/>
        </w:rPr>
      </w:pPr>
      <w:r w:rsidRPr="00792D5E">
        <w:rPr>
          <w:b/>
          <w:sz w:val="16"/>
          <w:szCs w:val="16"/>
        </w:rPr>
        <w:t>Off the Shelf’ replacement value</w:t>
      </w:r>
    </w:p>
    <w:p w14:paraId="2B9C9877" w14:textId="77777777" w:rsidR="006E7905" w:rsidRPr="00792D5E" w:rsidRDefault="00D27CF7" w:rsidP="00677998">
      <w:pPr>
        <w:spacing w:after="0" w:line="240" w:lineRule="auto"/>
        <w:rPr>
          <w:sz w:val="16"/>
          <w:szCs w:val="16"/>
        </w:rPr>
      </w:pPr>
      <w:r w:rsidRPr="00792D5E">
        <w:rPr>
          <w:sz w:val="16"/>
          <w:szCs w:val="16"/>
        </w:rPr>
        <w:t>S</w:t>
      </w:r>
      <w:r w:rsidR="006E7905" w:rsidRPr="00792D5E">
        <w:rPr>
          <w:sz w:val="16"/>
          <w:szCs w:val="16"/>
        </w:rPr>
        <w:t xml:space="preserve">uch a value is typically declared in the early life of a facility, when </w:t>
      </w:r>
      <w:proofErr w:type="spellStart"/>
      <w:r w:rsidR="006E7905" w:rsidRPr="00792D5E">
        <w:rPr>
          <w:sz w:val="16"/>
          <w:szCs w:val="16"/>
        </w:rPr>
        <w:t>if</w:t>
      </w:r>
      <w:proofErr w:type="spellEnd"/>
      <w:r w:rsidR="006E7905" w:rsidRPr="00792D5E">
        <w:rPr>
          <w:sz w:val="16"/>
          <w:szCs w:val="16"/>
        </w:rPr>
        <w:t xml:space="preserve"> lost, the replacement strategy is most likely in a ‘like for like’ or replacement as new basis.  This value reflects the historical cost to build the asset, adjusted for inflation since construction and installation, together with any technological changes, whilst excluding non-recurring expense items.  It is likely that this value is greater than the original cost due not only to inflation but other variables that may come into play during a ‘stressed’ rebuilding programme.  During periods of growth which may influence both raw material, labour and installation costs, the value should be seen to respond to and reflect such changes.  If the facility is relatively new, a view would need to be taken in regards to both non-recurring costs, and reduced costs such as reductions in engineering man hours in view that much basic, and some detailed, engineering will not need to be repeated</w:t>
      </w:r>
    </w:p>
    <w:p w14:paraId="3191D3AA" w14:textId="77777777" w:rsidR="006E7905" w:rsidRDefault="006E7905" w:rsidP="00677998">
      <w:pPr>
        <w:spacing w:after="0" w:line="240" w:lineRule="auto"/>
        <w:ind w:left="357"/>
        <w:rPr>
          <w:sz w:val="16"/>
          <w:szCs w:val="16"/>
        </w:rPr>
      </w:pPr>
    </w:p>
    <w:p w14:paraId="4271F0B5" w14:textId="77777777" w:rsidR="00A42AAA" w:rsidRPr="00792D5E" w:rsidRDefault="00A42AAA" w:rsidP="00677998">
      <w:pPr>
        <w:spacing w:after="0" w:line="240" w:lineRule="auto"/>
        <w:ind w:left="357"/>
        <w:rPr>
          <w:sz w:val="16"/>
          <w:szCs w:val="16"/>
        </w:rPr>
      </w:pPr>
    </w:p>
    <w:p w14:paraId="282C2254" w14:textId="77777777" w:rsidR="00D27CF7" w:rsidRPr="00792D5E" w:rsidRDefault="006E7905" w:rsidP="00D27CF7">
      <w:pPr>
        <w:spacing w:after="0" w:line="240" w:lineRule="auto"/>
        <w:rPr>
          <w:b/>
          <w:sz w:val="16"/>
          <w:szCs w:val="16"/>
        </w:rPr>
      </w:pPr>
      <w:r w:rsidRPr="00792D5E">
        <w:rPr>
          <w:b/>
          <w:sz w:val="16"/>
          <w:szCs w:val="16"/>
        </w:rPr>
        <w:t>Increased cost of repair or replacement</w:t>
      </w:r>
    </w:p>
    <w:p w14:paraId="402DAA6F" w14:textId="77777777" w:rsidR="006E7905" w:rsidRPr="00792D5E" w:rsidRDefault="00D27CF7" w:rsidP="00677998">
      <w:pPr>
        <w:spacing w:after="0" w:line="240" w:lineRule="auto"/>
        <w:rPr>
          <w:sz w:val="16"/>
          <w:szCs w:val="16"/>
        </w:rPr>
      </w:pPr>
      <w:r w:rsidRPr="00677998">
        <w:rPr>
          <w:sz w:val="16"/>
          <w:szCs w:val="16"/>
        </w:rPr>
        <w:t>T</w:t>
      </w:r>
      <w:r w:rsidR="006E7905" w:rsidRPr="00792D5E">
        <w:rPr>
          <w:sz w:val="16"/>
          <w:szCs w:val="16"/>
        </w:rPr>
        <w:t>he increased cost of repair or replacement (ICRR) acknowledges the potential for a an ‘off the shelf’ value to be exceeded – an example being where a platform suffers major topsides damage, yet the jacket remains largely undamaged and structurally sound, and the Operator wishes to undertake in-situ repair to allow soonest resumption of production.  In practice, this has seen the Operators apportioning the insured value over an ‘all-risks’ element and ICRR, with a typical apportionment being 80:20.  It is noted that this ratio can be reduced as low as 60:40, and with some assureds buying top-ups, in some cases the ratio is therefore not clear.  Intervention may be needed to mitigate this variability and uncertainty, and discipline with regards a fair split between ‘all-risks’ and TLO value as this gets built-up is not always maintained.</w:t>
      </w:r>
    </w:p>
    <w:p w14:paraId="32F04DD3" w14:textId="77777777" w:rsidR="006E7905" w:rsidRDefault="006E7905" w:rsidP="00677998">
      <w:pPr>
        <w:spacing w:after="0" w:line="240" w:lineRule="auto"/>
        <w:rPr>
          <w:sz w:val="16"/>
          <w:szCs w:val="16"/>
        </w:rPr>
      </w:pPr>
    </w:p>
    <w:p w14:paraId="47E667E6" w14:textId="77777777" w:rsidR="00A42AAA" w:rsidRPr="00792D5E" w:rsidRDefault="00A42AAA" w:rsidP="00677998">
      <w:pPr>
        <w:spacing w:after="0" w:line="240" w:lineRule="auto"/>
        <w:rPr>
          <w:sz w:val="16"/>
          <w:szCs w:val="16"/>
        </w:rPr>
      </w:pPr>
    </w:p>
    <w:p w14:paraId="6D2CD0FF" w14:textId="77777777" w:rsidR="00D27CF7" w:rsidRPr="00792D5E" w:rsidRDefault="006E7905" w:rsidP="00D27CF7">
      <w:pPr>
        <w:spacing w:after="0" w:line="240" w:lineRule="auto"/>
        <w:rPr>
          <w:b/>
          <w:sz w:val="16"/>
          <w:szCs w:val="16"/>
        </w:rPr>
      </w:pPr>
      <w:r w:rsidRPr="00792D5E">
        <w:rPr>
          <w:b/>
          <w:sz w:val="16"/>
          <w:szCs w:val="16"/>
        </w:rPr>
        <w:t xml:space="preserve">Total </w:t>
      </w:r>
      <w:r w:rsidR="00A96A39">
        <w:rPr>
          <w:b/>
          <w:sz w:val="16"/>
          <w:szCs w:val="16"/>
        </w:rPr>
        <w:t>l</w:t>
      </w:r>
      <w:r w:rsidRPr="00792D5E">
        <w:rPr>
          <w:b/>
          <w:sz w:val="16"/>
          <w:szCs w:val="16"/>
        </w:rPr>
        <w:t xml:space="preserve">oss </w:t>
      </w:r>
      <w:r w:rsidR="00A96A39">
        <w:rPr>
          <w:b/>
          <w:sz w:val="16"/>
          <w:szCs w:val="16"/>
        </w:rPr>
        <w:t>o</w:t>
      </w:r>
      <w:r w:rsidRPr="00792D5E">
        <w:rPr>
          <w:b/>
          <w:sz w:val="16"/>
          <w:szCs w:val="16"/>
        </w:rPr>
        <w:t>nly</w:t>
      </w:r>
    </w:p>
    <w:p w14:paraId="6B5ABCCC" w14:textId="77777777" w:rsidR="006E7905" w:rsidRPr="00792D5E" w:rsidRDefault="00D27CF7" w:rsidP="00677998">
      <w:pPr>
        <w:spacing w:after="0" w:line="240" w:lineRule="auto"/>
        <w:rPr>
          <w:sz w:val="16"/>
          <w:szCs w:val="16"/>
        </w:rPr>
      </w:pPr>
      <w:r w:rsidRPr="00677998">
        <w:rPr>
          <w:sz w:val="16"/>
          <w:szCs w:val="16"/>
        </w:rPr>
        <w:t>A</w:t>
      </w:r>
      <w:r w:rsidR="006E7905" w:rsidRPr="00792D5E">
        <w:rPr>
          <w:sz w:val="16"/>
          <w:szCs w:val="16"/>
        </w:rPr>
        <w:t xml:space="preserve">lternatively, some platforms may be insured on a total loss only basis, which may or may include additional costs that may be faced in the event of a total loss.  For such coverage it is important to have clear % trigger and policy wording concerning the declaration of a total constructive loss. </w:t>
      </w:r>
    </w:p>
    <w:p w14:paraId="1309C92F" w14:textId="77777777" w:rsidR="006E7905" w:rsidRDefault="006E7905" w:rsidP="00A42AAA">
      <w:pPr>
        <w:spacing w:after="0" w:line="240" w:lineRule="auto"/>
        <w:rPr>
          <w:sz w:val="16"/>
          <w:szCs w:val="16"/>
        </w:rPr>
      </w:pPr>
    </w:p>
    <w:p w14:paraId="7977D947" w14:textId="77777777" w:rsidR="00A42AAA" w:rsidRPr="00792D5E" w:rsidRDefault="00A42AAA" w:rsidP="00A42AAA">
      <w:pPr>
        <w:spacing w:after="0" w:line="240" w:lineRule="auto"/>
        <w:rPr>
          <w:sz w:val="16"/>
          <w:szCs w:val="16"/>
        </w:rPr>
      </w:pPr>
    </w:p>
    <w:p w14:paraId="05D76465" w14:textId="77777777" w:rsidR="00D27CF7" w:rsidRPr="00792D5E" w:rsidRDefault="006E7905" w:rsidP="00D27CF7">
      <w:pPr>
        <w:spacing w:after="0" w:line="240" w:lineRule="auto"/>
        <w:rPr>
          <w:b/>
          <w:sz w:val="16"/>
          <w:szCs w:val="16"/>
        </w:rPr>
      </w:pPr>
      <w:r w:rsidRPr="00792D5E">
        <w:rPr>
          <w:b/>
          <w:sz w:val="16"/>
          <w:szCs w:val="16"/>
        </w:rPr>
        <w:t>Depleted reservoirs (finance method)</w:t>
      </w:r>
    </w:p>
    <w:p w14:paraId="333323E0" w14:textId="77777777" w:rsidR="006E7905" w:rsidRPr="00677998" w:rsidRDefault="00D27CF7" w:rsidP="00677998">
      <w:pPr>
        <w:spacing w:after="0" w:line="240" w:lineRule="auto"/>
        <w:rPr>
          <w:sz w:val="16"/>
          <w:szCs w:val="16"/>
        </w:rPr>
      </w:pPr>
      <w:r w:rsidRPr="00677998">
        <w:rPr>
          <w:sz w:val="16"/>
          <w:szCs w:val="16"/>
        </w:rPr>
        <w:t>A</w:t>
      </w:r>
      <w:r w:rsidR="006E7905" w:rsidRPr="00677998">
        <w:rPr>
          <w:sz w:val="16"/>
          <w:szCs w:val="16"/>
        </w:rPr>
        <w:t xml:space="preserve">t some point in a platforms life, due to reservoir depletion, the ‘like for like’ replacement basis may not be justified on economic grounds.  When this position in time occurs, it may be more </w:t>
      </w:r>
      <w:r w:rsidR="006E7905" w:rsidRPr="00677998">
        <w:rPr>
          <w:sz w:val="16"/>
          <w:szCs w:val="16"/>
        </w:rPr>
        <w:t>appropriate for the Operator to present a lower ‘agreed’ insured value, which can for example reflect either an engineered solution for a reduced facilities platform or the cost the remaining reservoir being produced via a sub-sea tie-back to another platform.</w:t>
      </w:r>
      <w:r w:rsidR="00A96A39">
        <w:rPr>
          <w:sz w:val="16"/>
          <w:szCs w:val="16"/>
        </w:rPr>
        <w:t xml:space="preserve">  </w:t>
      </w:r>
      <w:r w:rsidR="006E7905" w:rsidRPr="00677998">
        <w:rPr>
          <w:sz w:val="16"/>
          <w:szCs w:val="16"/>
        </w:rPr>
        <w:t>With regards such a reduced value, this will have rate adjustment implications over a ‘like for like’ strategy, as the insurer will have to take into account the liability for payment of partial losses, but with a lower value applied to the platform there is increased vulnerability to a total constructive loss – dual valuation may be a consideration.   Rates tend to rise with a lowering of insured value, and consideration of the total loss factor needs to be encouraged.</w:t>
      </w:r>
    </w:p>
    <w:p w14:paraId="4BF41028" w14:textId="77777777" w:rsidR="006E7905" w:rsidRPr="00677998" w:rsidRDefault="006E7905" w:rsidP="00677998">
      <w:pPr>
        <w:spacing w:after="0" w:line="240" w:lineRule="auto"/>
        <w:rPr>
          <w:sz w:val="16"/>
          <w:szCs w:val="16"/>
        </w:rPr>
      </w:pPr>
    </w:p>
    <w:p w14:paraId="6D1CA8D1" w14:textId="77777777" w:rsidR="006E7905" w:rsidRPr="00677998" w:rsidRDefault="006E7905" w:rsidP="00677998">
      <w:pPr>
        <w:spacing w:after="0" w:line="240" w:lineRule="auto"/>
        <w:rPr>
          <w:sz w:val="16"/>
          <w:szCs w:val="16"/>
        </w:rPr>
      </w:pPr>
      <w:r w:rsidRPr="00677998">
        <w:rPr>
          <w:sz w:val="16"/>
          <w:szCs w:val="16"/>
        </w:rPr>
        <w:t>Caution is also noted in regards to ‘so-called’ hub platforms in mature fields which have been used to tie-in back production from satellite platforms or longer viability sub-sea developments.  Whilst the production from the original platform dry wells may be significantly depleted  its importance to support production from other fields remains significant, and as such its declared value may still need to be based on a design close to original concept.</w:t>
      </w:r>
    </w:p>
    <w:p w14:paraId="7F855567" w14:textId="77777777" w:rsidR="006E7905" w:rsidRPr="00677998" w:rsidRDefault="006E7905" w:rsidP="00677998">
      <w:pPr>
        <w:spacing w:after="0" w:line="240" w:lineRule="auto"/>
        <w:rPr>
          <w:sz w:val="16"/>
          <w:szCs w:val="16"/>
        </w:rPr>
      </w:pPr>
    </w:p>
    <w:p w14:paraId="392A5DCF" w14:textId="77777777" w:rsidR="006E7905" w:rsidRPr="00677998" w:rsidRDefault="006E7905" w:rsidP="00677998">
      <w:pPr>
        <w:spacing w:after="0" w:line="240" w:lineRule="auto"/>
        <w:rPr>
          <w:sz w:val="16"/>
          <w:szCs w:val="16"/>
        </w:rPr>
      </w:pPr>
      <w:r w:rsidRPr="00677998">
        <w:rPr>
          <w:sz w:val="16"/>
          <w:szCs w:val="16"/>
        </w:rPr>
        <w:t>Potential for high cost even with low platform value if cost of removal of wreck covered even though platform will not be replaced.</w:t>
      </w:r>
    </w:p>
    <w:p w14:paraId="295D9EC0" w14:textId="77777777" w:rsidR="006E7905" w:rsidRPr="00677998" w:rsidRDefault="006E7905" w:rsidP="00677998">
      <w:pPr>
        <w:spacing w:after="0" w:line="240" w:lineRule="auto"/>
        <w:rPr>
          <w:sz w:val="16"/>
          <w:szCs w:val="16"/>
        </w:rPr>
      </w:pPr>
    </w:p>
    <w:p w14:paraId="079FE958" w14:textId="77777777" w:rsidR="006E7905" w:rsidRPr="00677998" w:rsidRDefault="006E7905" w:rsidP="00677998">
      <w:pPr>
        <w:spacing w:after="0" w:line="240" w:lineRule="auto"/>
        <w:rPr>
          <w:sz w:val="16"/>
          <w:szCs w:val="16"/>
        </w:rPr>
      </w:pPr>
      <w:r w:rsidRPr="00677998">
        <w:rPr>
          <w:sz w:val="16"/>
          <w:szCs w:val="16"/>
        </w:rPr>
        <w:t xml:space="preserve">The cessation of production date (COP) should also be considered in conjunction with declared asset value.  For example if an asset has &lt;5 years to COP then consider it will not be replaced, and &lt;10 years, full platform may not be replace but replaced with a subsea tie-back.   This information is publicly available for each platform globally on information repositories such as Wood Mackenzie and IHS Connect therefore the client should not have reservations with regards to providing to insurers, and would be of value regardless of basis of insurance. </w:t>
      </w:r>
    </w:p>
    <w:p w14:paraId="1CC79449" w14:textId="77777777" w:rsidR="006E7905" w:rsidRDefault="006E7905" w:rsidP="00A42AAA">
      <w:pPr>
        <w:spacing w:after="0" w:line="240" w:lineRule="auto"/>
        <w:rPr>
          <w:sz w:val="16"/>
          <w:szCs w:val="16"/>
        </w:rPr>
      </w:pPr>
    </w:p>
    <w:p w14:paraId="2F907AA7" w14:textId="77777777" w:rsidR="00A42AAA" w:rsidRPr="00792D5E" w:rsidRDefault="00A42AAA" w:rsidP="00A42AAA">
      <w:pPr>
        <w:spacing w:after="0" w:line="240" w:lineRule="auto"/>
        <w:rPr>
          <w:sz w:val="16"/>
          <w:szCs w:val="16"/>
        </w:rPr>
      </w:pPr>
    </w:p>
    <w:p w14:paraId="54BE331B" w14:textId="77777777" w:rsidR="00D27CF7" w:rsidRPr="00792D5E" w:rsidRDefault="006E7905" w:rsidP="00D27CF7">
      <w:pPr>
        <w:spacing w:after="0" w:line="240" w:lineRule="auto"/>
        <w:rPr>
          <w:b/>
          <w:sz w:val="16"/>
          <w:szCs w:val="16"/>
        </w:rPr>
      </w:pPr>
      <w:r w:rsidRPr="00792D5E">
        <w:rPr>
          <w:b/>
          <w:sz w:val="16"/>
          <w:szCs w:val="16"/>
        </w:rPr>
        <w:t>First loss limits</w:t>
      </w:r>
    </w:p>
    <w:p w14:paraId="1FBB75DE" w14:textId="77777777" w:rsidR="006E7905" w:rsidRPr="00792D5E" w:rsidRDefault="00D27CF7" w:rsidP="00677998">
      <w:pPr>
        <w:spacing w:after="0" w:line="240" w:lineRule="auto"/>
        <w:rPr>
          <w:sz w:val="16"/>
          <w:szCs w:val="16"/>
        </w:rPr>
      </w:pPr>
      <w:r w:rsidRPr="00677998">
        <w:rPr>
          <w:sz w:val="16"/>
          <w:szCs w:val="16"/>
        </w:rPr>
        <w:t>T</w:t>
      </w:r>
      <w:r w:rsidR="006E7905" w:rsidRPr="00792D5E">
        <w:rPr>
          <w:sz w:val="16"/>
          <w:szCs w:val="16"/>
        </w:rPr>
        <w:t>ypically associated with SURF (Sub-Sea, Umbilical’s, Risers &amp; Flowlines) wellheads and pipelines.  For example, after a pipeline has been laid, the risk of total loss is typically considered low, and the assured will select a limit representing the likely repair cost for the maximum amount of damage that could be sustained in any one event.  Notwithstanding a surety of liability, the Underwriter should ensure the first loss limit is based on a credible costed scenario that addresses the need for specialist engineering and construction vessels to affect such repairs.</w:t>
      </w:r>
    </w:p>
    <w:p w14:paraId="75A57E11" w14:textId="77777777" w:rsidR="006E7905" w:rsidRDefault="006E7905" w:rsidP="00A42AAA">
      <w:pPr>
        <w:spacing w:after="0" w:line="240" w:lineRule="auto"/>
        <w:rPr>
          <w:sz w:val="16"/>
          <w:szCs w:val="16"/>
        </w:rPr>
      </w:pPr>
    </w:p>
    <w:p w14:paraId="68E249C2" w14:textId="77777777" w:rsidR="00A42AAA" w:rsidRPr="00792D5E" w:rsidRDefault="00A42AAA" w:rsidP="00A42AAA">
      <w:pPr>
        <w:spacing w:after="0" w:line="240" w:lineRule="auto"/>
        <w:rPr>
          <w:sz w:val="16"/>
          <w:szCs w:val="16"/>
        </w:rPr>
      </w:pPr>
    </w:p>
    <w:p w14:paraId="4C3493C8" w14:textId="77777777" w:rsidR="00D27CF7" w:rsidRPr="00792D5E" w:rsidRDefault="00A96A39" w:rsidP="00D27CF7">
      <w:pPr>
        <w:spacing w:after="0" w:line="240" w:lineRule="auto"/>
        <w:rPr>
          <w:b/>
          <w:sz w:val="16"/>
          <w:szCs w:val="16"/>
        </w:rPr>
      </w:pPr>
      <w:r>
        <w:rPr>
          <w:b/>
          <w:sz w:val="16"/>
          <w:szCs w:val="16"/>
        </w:rPr>
        <w:t>Combined single limit (</w:t>
      </w:r>
      <w:r w:rsidR="006E7905" w:rsidRPr="00792D5E">
        <w:rPr>
          <w:b/>
          <w:sz w:val="16"/>
          <w:szCs w:val="16"/>
        </w:rPr>
        <w:t>CSL</w:t>
      </w:r>
      <w:r>
        <w:rPr>
          <w:b/>
          <w:sz w:val="16"/>
          <w:szCs w:val="16"/>
        </w:rPr>
        <w:t>)</w:t>
      </w:r>
    </w:p>
    <w:p w14:paraId="1816469C" w14:textId="77777777" w:rsidR="006E7905" w:rsidRPr="00792D5E" w:rsidRDefault="006E7905" w:rsidP="00677998">
      <w:pPr>
        <w:spacing w:after="0" w:line="240" w:lineRule="auto"/>
        <w:rPr>
          <w:sz w:val="16"/>
          <w:szCs w:val="16"/>
        </w:rPr>
      </w:pPr>
      <w:r w:rsidRPr="00792D5E">
        <w:rPr>
          <w:sz w:val="16"/>
          <w:szCs w:val="16"/>
        </w:rPr>
        <w:t xml:space="preserve">Increasingly in cases where there is a substantial number of assets in one area, assureds will turn to a </w:t>
      </w:r>
      <w:r w:rsidR="00A96A39">
        <w:rPr>
          <w:sz w:val="16"/>
          <w:szCs w:val="16"/>
        </w:rPr>
        <w:t>CSL</w:t>
      </w:r>
      <w:r w:rsidRPr="00792D5E">
        <w:rPr>
          <w:sz w:val="16"/>
          <w:szCs w:val="16"/>
        </w:rPr>
        <w:t xml:space="preserve">, which covers physical damage as well as other insurable interests such as LOPI and COC, where the limit purchased is likely to be based on </w:t>
      </w:r>
      <w:proofErr w:type="spellStart"/>
      <w:r w:rsidRPr="00792D5E">
        <w:rPr>
          <w:sz w:val="16"/>
          <w:szCs w:val="16"/>
        </w:rPr>
        <w:t>a</w:t>
      </w:r>
      <w:proofErr w:type="spellEnd"/>
      <w:r w:rsidRPr="00792D5E">
        <w:rPr>
          <w:sz w:val="16"/>
          <w:szCs w:val="16"/>
        </w:rPr>
        <w:t xml:space="preserve"> estimated maximum loss scenario for the field.  </w:t>
      </w:r>
      <w:r w:rsidRPr="00792D5E">
        <w:rPr>
          <w:i/>
          <w:sz w:val="16"/>
          <w:szCs w:val="16"/>
        </w:rPr>
        <w:t xml:space="preserve">It is noted that such a basis of insurance may encourage reduced discipline in maintaining individual values and may lack wording clarity, and as such treated with caution. </w:t>
      </w:r>
      <w:r w:rsidRPr="00792D5E">
        <w:rPr>
          <w:sz w:val="16"/>
          <w:szCs w:val="16"/>
        </w:rPr>
        <w:t xml:space="preserve">   Such basis of cover needs to have clear policy wording concerning the declaration of a total constructive loss.</w:t>
      </w:r>
    </w:p>
    <w:p w14:paraId="299F982E" w14:textId="77777777" w:rsidR="006E7905" w:rsidRDefault="006E7905" w:rsidP="00A42AAA">
      <w:pPr>
        <w:spacing w:after="0" w:line="240" w:lineRule="auto"/>
        <w:rPr>
          <w:sz w:val="16"/>
          <w:szCs w:val="16"/>
        </w:rPr>
      </w:pPr>
    </w:p>
    <w:p w14:paraId="6A9DD774" w14:textId="77777777" w:rsidR="00A42AAA" w:rsidRPr="00792D5E" w:rsidRDefault="00A42AAA" w:rsidP="00A42AAA">
      <w:pPr>
        <w:spacing w:after="0" w:line="240" w:lineRule="auto"/>
        <w:rPr>
          <w:sz w:val="16"/>
          <w:szCs w:val="16"/>
        </w:rPr>
      </w:pPr>
    </w:p>
    <w:p w14:paraId="445F6691" w14:textId="77777777" w:rsidR="00A96A39" w:rsidRDefault="006E7905" w:rsidP="00677998">
      <w:pPr>
        <w:spacing w:after="0" w:line="240" w:lineRule="auto"/>
        <w:rPr>
          <w:b/>
          <w:sz w:val="16"/>
          <w:szCs w:val="16"/>
        </w:rPr>
      </w:pPr>
      <w:r w:rsidRPr="00792D5E">
        <w:rPr>
          <w:b/>
          <w:sz w:val="16"/>
          <w:szCs w:val="16"/>
        </w:rPr>
        <w:t xml:space="preserve">Removal of </w:t>
      </w:r>
      <w:r w:rsidR="00A96A39">
        <w:rPr>
          <w:b/>
          <w:sz w:val="16"/>
          <w:szCs w:val="16"/>
        </w:rPr>
        <w:t>w</w:t>
      </w:r>
      <w:r w:rsidRPr="00792D5E">
        <w:rPr>
          <w:b/>
          <w:sz w:val="16"/>
          <w:szCs w:val="16"/>
        </w:rPr>
        <w:t>reck /</w:t>
      </w:r>
      <w:r w:rsidR="00A96A39">
        <w:rPr>
          <w:b/>
          <w:sz w:val="16"/>
          <w:szCs w:val="16"/>
        </w:rPr>
        <w:t>s</w:t>
      </w:r>
      <w:r w:rsidR="00D27CF7" w:rsidRPr="00792D5E">
        <w:rPr>
          <w:b/>
          <w:sz w:val="16"/>
          <w:szCs w:val="16"/>
        </w:rPr>
        <w:t xml:space="preserve">ue &amp; </w:t>
      </w:r>
      <w:r w:rsidR="00A96A39">
        <w:rPr>
          <w:b/>
          <w:sz w:val="16"/>
          <w:szCs w:val="16"/>
        </w:rPr>
        <w:t>l</w:t>
      </w:r>
      <w:r w:rsidR="00D27CF7" w:rsidRPr="00792D5E">
        <w:rPr>
          <w:b/>
          <w:sz w:val="16"/>
          <w:szCs w:val="16"/>
        </w:rPr>
        <w:t>abour</w:t>
      </w:r>
    </w:p>
    <w:p w14:paraId="1AEE91F5" w14:textId="77777777" w:rsidR="00D27CF7" w:rsidRDefault="00D27CF7" w:rsidP="006E7905">
      <w:pPr>
        <w:spacing w:after="0" w:line="240" w:lineRule="auto"/>
        <w:rPr>
          <w:sz w:val="16"/>
          <w:szCs w:val="16"/>
        </w:rPr>
      </w:pPr>
      <w:r w:rsidRPr="00677998">
        <w:rPr>
          <w:sz w:val="16"/>
          <w:szCs w:val="16"/>
        </w:rPr>
        <w:t>A</w:t>
      </w:r>
      <w:r w:rsidR="006E7905" w:rsidRPr="00792D5E">
        <w:rPr>
          <w:sz w:val="16"/>
          <w:szCs w:val="16"/>
        </w:rPr>
        <w:t>dditional limits usually offered as a % of insured value (typically 25%) although excess removal of wreck can also be purchased.  It is noted that insureds may elect to insure some structures on a removal of wreck basis only at a nominated value.</w:t>
      </w:r>
    </w:p>
    <w:p w14:paraId="4D623035" w14:textId="77777777" w:rsidR="00A42AAA" w:rsidRDefault="00A42AAA" w:rsidP="006E7905">
      <w:pPr>
        <w:spacing w:after="0" w:line="240" w:lineRule="auto"/>
      </w:pPr>
    </w:p>
    <w:p w14:paraId="4AE030AD" w14:textId="77777777" w:rsidR="00D27CF7" w:rsidRDefault="00D27CF7" w:rsidP="006E7905">
      <w:pPr>
        <w:spacing w:after="0" w:line="240" w:lineRule="auto"/>
        <w:sectPr w:rsidR="00D27CF7" w:rsidSect="00A42AAA">
          <w:pgSz w:w="16838" w:h="11906" w:orient="landscape"/>
          <w:pgMar w:top="1134" w:right="1103" w:bottom="851" w:left="993" w:header="708" w:footer="708" w:gutter="0"/>
          <w:cols w:num="2" w:space="708"/>
          <w:docGrid w:linePitch="360"/>
        </w:sectPr>
      </w:pPr>
    </w:p>
    <w:p w14:paraId="15B84B5F" w14:textId="77777777" w:rsidR="00D27CF7" w:rsidRPr="00A96A39" w:rsidRDefault="00D27CF7" w:rsidP="00D27CF7">
      <w:pPr>
        <w:spacing w:after="0" w:line="240" w:lineRule="auto"/>
        <w:rPr>
          <w:b/>
        </w:rPr>
      </w:pPr>
      <w:r w:rsidRPr="00A96A39">
        <w:rPr>
          <w:noProof/>
          <w:lang w:eastAsia="en-GB"/>
        </w:rPr>
        <w:lastRenderedPageBreak/>
        <w:drawing>
          <wp:anchor distT="0" distB="0" distL="114300" distR="114300" simplePos="0" relativeHeight="251658240" behindDoc="0" locked="0" layoutInCell="1" allowOverlap="1" wp14:anchorId="63BCE749" wp14:editId="6101CDDC">
            <wp:simplePos x="0" y="0"/>
            <wp:positionH relativeFrom="column">
              <wp:posOffset>4323080</wp:posOffset>
            </wp:positionH>
            <wp:positionV relativeFrom="paragraph">
              <wp:posOffset>103505</wp:posOffset>
            </wp:positionV>
            <wp:extent cx="4118610" cy="2926080"/>
            <wp:effectExtent l="0" t="0" r="0" b="762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118610" cy="2926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A39">
        <w:rPr>
          <w:b/>
        </w:rPr>
        <w:t>Appendix A</w:t>
      </w:r>
    </w:p>
    <w:p w14:paraId="5A302BEA" w14:textId="77777777" w:rsidR="00D27CF7" w:rsidRPr="00A96A39" w:rsidRDefault="00D27CF7" w:rsidP="00D27CF7">
      <w:pPr>
        <w:spacing w:after="0" w:line="240" w:lineRule="auto"/>
        <w:rPr>
          <w:b/>
        </w:rPr>
      </w:pPr>
      <w:r w:rsidRPr="00A96A39">
        <w:rPr>
          <w:b/>
        </w:rPr>
        <w:t>Asset value based on asset weight</w:t>
      </w:r>
    </w:p>
    <w:p w14:paraId="051196E3" w14:textId="77777777" w:rsidR="00D27CF7" w:rsidRPr="00D27CF7" w:rsidRDefault="00D27CF7" w:rsidP="00D27CF7">
      <w:pPr>
        <w:tabs>
          <w:tab w:val="left" w:pos="1985"/>
          <w:tab w:val="left" w:pos="7371"/>
          <w:tab w:val="left" w:pos="8789"/>
          <w:tab w:val="left" w:pos="8931"/>
          <w:tab w:val="left" w:pos="9356"/>
          <w:tab w:val="left" w:pos="9911"/>
        </w:tabs>
        <w:spacing w:after="0" w:line="240" w:lineRule="auto"/>
        <w:rPr>
          <w:b/>
          <w:sz w:val="28"/>
          <w:szCs w:val="28"/>
        </w:rPr>
      </w:pPr>
    </w:p>
    <w:p w14:paraId="0ED64501" w14:textId="77777777" w:rsidR="00836A86" w:rsidRPr="00836A86" w:rsidRDefault="00836A86" w:rsidP="00D27CF7">
      <w:pPr>
        <w:tabs>
          <w:tab w:val="left" w:pos="1985"/>
          <w:tab w:val="left" w:pos="7371"/>
          <w:tab w:val="left" w:pos="8789"/>
          <w:tab w:val="left" w:pos="8931"/>
          <w:tab w:val="left" w:pos="9356"/>
          <w:tab w:val="left" w:pos="9911"/>
        </w:tabs>
        <w:spacing w:after="0" w:line="240" w:lineRule="auto"/>
        <w:jc w:val="both"/>
        <w:rPr>
          <w:b/>
          <w:sz w:val="16"/>
          <w:szCs w:val="16"/>
        </w:rPr>
      </w:pPr>
      <w:r w:rsidRPr="00836A86">
        <w:rPr>
          <w:b/>
          <w:sz w:val="16"/>
          <w:szCs w:val="16"/>
        </w:rPr>
        <w:t>The following provides an example of a simple weight based value validity check.</w:t>
      </w:r>
    </w:p>
    <w:p w14:paraId="4D21F63A" w14:textId="77777777" w:rsidR="00836A86" w:rsidRDefault="00836A86" w:rsidP="00D27CF7">
      <w:pPr>
        <w:tabs>
          <w:tab w:val="left" w:pos="1985"/>
          <w:tab w:val="left" w:pos="7371"/>
          <w:tab w:val="left" w:pos="8789"/>
          <w:tab w:val="left" w:pos="8931"/>
          <w:tab w:val="left" w:pos="9356"/>
          <w:tab w:val="left" w:pos="9911"/>
        </w:tabs>
        <w:spacing w:after="0" w:line="240" w:lineRule="auto"/>
        <w:jc w:val="both"/>
        <w:rPr>
          <w:sz w:val="16"/>
          <w:szCs w:val="16"/>
        </w:rPr>
      </w:pPr>
    </w:p>
    <w:p w14:paraId="2AEFF81F" w14:textId="77777777" w:rsidR="00D27CF7" w:rsidRPr="00A96A39" w:rsidRDefault="00D27CF7" w:rsidP="00D27CF7">
      <w:pPr>
        <w:tabs>
          <w:tab w:val="left" w:pos="1985"/>
          <w:tab w:val="left" w:pos="7371"/>
          <w:tab w:val="left" w:pos="8789"/>
          <w:tab w:val="left" w:pos="8931"/>
          <w:tab w:val="left" w:pos="9356"/>
          <w:tab w:val="left" w:pos="9911"/>
        </w:tabs>
        <w:spacing w:after="0" w:line="240" w:lineRule="auto"/>
        <w:jc w:val="both"/>
        <w:rPr>
          <w:sz w:val="16"/>
          <w:szCs w:val="16"/>
        </w:rPr>
      </w:pPr>
      <w:r w:rsidRPr="00A96A39">
        <w:rPr>
          <w:sz w:val="16"/>
          <w:szCs w:val="16"/>
        </w:rPr>
        <w:t>Asset weights should be easily obtainable by assured from the client via the broker.  Asset weights are publicly available on information repositories such as Wood Mackenzie therefore there should be no reservations from the assured in providing this information.</w:t>
      </w:r>
      <w:r w:rsidRPr="00A96A39">
        <w:rPr>
          <w:noProof/>
          <w:sz w:val="16"/>
          <w:szCs w:val="16"/>
        </w:rPr>
        <w:t xml:space="preserve"> </w:t>
      </w:r>
    </w:p>
    <w:p w14:paraId="530E8A10" w14:textId="77777777" w:rsidR="00D27CF7" w:rsidRPr="00A96A39" w:rsidRDefault="00D27CF7" w:rsidP="00D27CF7">
      <w:pPr>
        <w:tabs>
          <w:tab w:val="left" w:pos="1985"/>
          <w:tab w:val="left" w:pos="7371"/>
          <w:tab w:val="left" w:pos="8789"/>
          <w:tab w:val="left" w:pos="8931"/>
          <w:tab w:val="left" w:pos="9356"/>
          <w:tab w:val="left" w:pos="9911"/>
        </w:tabs>
        <w:spacing w:after="0" w:line="240" w:lineRule="auto"/>
        <w:jc w:val="both"/>
        <w:rPr>
          <w:sz w:val="16"/>
          <w:szCs w:val="16"/>
        </w:rPr>
      </w:pPr>
    </w:p>
    <w:p w14:paraId="6FD3689E" w14:textId="77777777" w:rsidR="00D27CF7" w:rsidRPr="00A96A39" w:rsidRDefault="00D27CF7" w:rsidP="00D27CF7">
      <w:pPr>
        <w:tabs>
          <w:tab w:val="left" w:pos="1985"/>
          <w:tab w:val="left" w:pos="7371"/>
          <w:tab w:val="left" w:pos="8789"/>
          <w:tab w:val="left" w:pos="8931"/>
          <w:tab w:val="left" w:pos="9356"/>
          <w:tab w:val="left" w:pos="9911"/>
          <w:tab w:val="left" w:pos="12191"/>
        </w:tabs>
        <w:spacing w:after="0" w:line="240" w:lineRule="auto"/>
        <w:jc w:val="both"/>
        <w:rPr>
          <w:sz w:val="16"/>
          <w:szCs w:val="16"/>
        </w:rPr>
      </w:pPr>
      <w:r w:rsidRPr="00A96A39">
        <w:rPr>
          <w:sz w:val="16"/>
          <w:szCs w:val="16"/>
        </w:rPr>
        <w:t xml:space="preserve">Some assureds are currently using benchmarking produced by Turner &amp; Townsend to calculate asset replacement value based on both Topsides and Jacket weight.  The example graphs below provide topside cost per tonne vs topsides weight and jacket cost per tonne vs jacket weight respectively for North Sea platforms. </w:t>
      </w:r>
    </w:p>
    <w:p w14:paraId="1C616951" w14:textId="77777777" w:rsidR="00D27CF7" w:rsidRPr="00A96A39" w:rsidRDefault="00D27CF7" w:rsidP="00D27CF7">
      <w:pPr>
        <w:tabs>
          <w:tab w:val="left" w:pos="1985"/>
          <w:tab w:val="left" w:pos="7371"/>
          <w:tab w:val="left" w:pos="8789"/>
          <w:tab w:val="left" w:pos="8931"/>
          <w:tab w:val="left" w:pos="9356"/>
          <w:tab w:val="left" w:pos="9911"/>
        </w:tabs>
        <w:spacing w:after="0" w:line="240" w:lineRule="auto"/>
        <w:jc w:val="both"/>
        <w:rPr>
          <w:sz w:val="16"/>
          <w:szCs w:val="16"/>
        </w:rPr>
      </w:pPr>
    </w:p>
    <w:p w14:paraId="6011FBE6" w14:textId="77777777" w:rsidR="00D27CF7" w:rsidRPr="00D27CF7" w:rsidRDefault="00D27CF7" w:rsidP="00D27CF7">
      <w:pPr>
        <w:tabs>
          <w:tab w:val="left" w:pos="1985"/>
          <w:tab w:val="left" w:pos="7371"/>
          <w:tab w:val="left" w:pos="8789"/>
          <w:tab w:val="left" w:pos="8931"/>
          <w:tab w:val="left" w:pos="9356"/>
          <w:tab w:val="left" w:pos="9911"/>
        </w:tabs>
        <w:spacing w:after="0" w:line="240" w:lineRule="auto"/>
        <w:jc w:val="both"/>
      </w:pPr>
      <w:r w:rsidRPr="00A96A39">
        <w:rPr>
          <w:sz w:val="16"/>
          <w:szCs w:val="16"/>
        </w:rPr>
        <w:t>Although these are North Sea specific, they could usefully serve as a baseline and then used with a prescribed set of multipliers for alternate locations such as more complex, more remote, less mature etc.  These should be used with a degree of caution as they are very generic and have exclusions that would be insured.  Care should also be taken to understand the date validity of the information, which in turn may need to be indexed.</w:t>
      </w:r>
      <w:r w:rsidRPr="00D27CF7">
        <w:rPr>
          <w:noProof/>
        </w:rPr>
        <w:t xml:space="preserve"> </w:t>
      </w:r>
    </w:p>
    <w:p w14:paraId="2CF99E97" w14:textId="77777777" w:rsidR="00D27CF7" w:rsidRPr="00D27CF7" w:rsidRDefault="00D27CF7" w:rsidP="00D27CF7">
      <w:pPr>
        <w:spacing w:after="0" w:line="240" w:lineRule="auto"/>
      </w:pPr>
    </w:p>
    <w:p w14:paraId="7F45E03E" w14:textId="77777777" w:rsidR="00D27CF7" w:rsidRPr="00D27CF7" w:rsidRDefault="00D27CF7" w:rsidP="00D27CF7">
      <w:pPr>
        <w:spacing w:after="0" w:line="240" w:lineRule="auto"/>
      </w:pPr>
    </w:p>
    <w:p w14:paraId="36B89F1D" w14:textId="77777777" w:rsidR="00D27CF7" w:rsidRPr="00D27CF7" w:rsidRDefault="00B26E12" w:rsidP="00D27CF7">
      <w:pPr>
        <w:spacing w:after="0" w:line="240" w:lineRule="auto"/>
      </w:pPr>
      <w:r w:rsidRPr="00A96A39">
        <w:rPr>
          <w:noProof/>
          <w:sz w:val="16"/>
          <w:szCs w:val="16"/>
          <w:lang w:eastAsia="en-GB"/>
        </w:rPr>
        <w:drawing>
          <wp:anchor distT="0" distB="0" distL="114300" distR="114300" simplePos="0" relativeHeight="251660288" behindDoc="0" locked="0" layoutInCell="1" allowOverlap="1" wp14:anchorId="1D4351CE" wp14:editId="3AA6205B">
            <wp:simplePos x="0" y="0"/>
            <wp:positionH relativeFrom="column">
              <wp:posOffset>4373880</wp:posOffset>
            </wp:positionH>
            <wp:positionV relativeFrom="paragraph">
              <wp:posOffset>480695</wp:posOffset>
            </wp:positionV>
            <wp:extent cx="4108450" cy="2844165"/>
            <wp:effectExtent l="0" t="0" r="635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08450" cy="28441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27CF7" w:rsidRPr="00D27CF7" w:rsidSect="00D27CF7">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33AE" w14:textId="77777777" w:rsidR="00585BC3" w:rsidRDefault="00585BC3" w:rsidP="00D169A6">
      <w:pPr>
        <w:spacing w:after="0" w:line="240" w:lineRule="auto"/>
      </w:pPr>
      <w:r>
        <w:separator/>
      </w:r>
    </w:p>
  </w:endnote>
  <w:endnote w:type="continuationSeparator" w:id="0">
    <w:p w14:paraId="2CA50243" w14:textId="77777777" w:rsidR="00585BC3" w:rsidRDefault="00585BC3" w:rsidP="00D1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JhengHei">
    <w:altName w:val="微軟正黑體"/>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3108" w14:textId="77777777" w:rsidR="0066479D" w:rsidRDefault="00664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B1F0" w14:textId="77777777" w:rsidR="003C346B" w:rsidRDefault="003C346B" w:rsidP="003C346B">
    <w:pPr>
      <w:spacing w:after="0" w:line="240" w:lineRule="auto"/>
      <w:jc w:val="center"/>
      <w:rPr>
        <w:sz w:val="16"/>
        <w:szCs w:val="16"/>
      </w:rPr>
    </w:pPr>
    <w:r w:rsidRPr="003C346B">
      <w:rPr>
        <w:sz w:val="16"/>
        <w:szCs w:val="16"/>
      </w:rPr>
      <w:t>JR2019-003</w:t>
    </w:r>
    <w:r>
      <w:rPr>
        <w:sz w:val="16"/>
        <w:szCs w:val="16"/>
      </w:rPr>
      <w:t>.</w:t>
    </w:r>
    <w:r w:rsidRPr="003C346B">
      <w:rPr>
        <w:sz w:val="16"/>
        <w:szCs w:val="16"/>
      </w:rPr>
      <w:t xml:space="preserve"> Upstream Property Values &amp; Value Maintenance Guideline</w:t>
    </w:r>
    <w:r>
      <w:rPr>
        <w:sz w:val="16"/>
        <w:szCs w:val="16"/>
      </w:rPr>
      <w:t>, Version 1</w:t>
    </w:r>
  </w:p>
  <w:p w14:paraId="7D0338D9" w14:textId="77777777" w:rsidR="003C346B" w:rsidRPr="003C346B" w:rsidRDefault="003C346B" w:rsidP="003C346B">
    <w:pPr>
      <w:spacing w:after="0" w:line="240" w:lineRule="auto"/>
      <w:jc w:val="center"/>
      <w:rPr>
        <w:sz w:val="16"/>
        <w:szCs w:val="16"/>
      </w:rPr>
    </w:pPr>
    <w:r w:rsidRPr="003C346B">
      <w:rPr>
        <w:color w:val="808080" w:themeColor="background1" w:themeShade="80"/>
        <w:spacing w:val="60"/>
        <w:sz w:val="16"/>
        <w:szCs w:val="16"/>
      </w:rPr>
      <w:t>Page</w:t>
    </w:r>
    <w:r w:rsidRPr="003C346B">
      <w:rPr>
        <w:sz w:val="16"/>
        <w:szCs w:val="16"/>
      </w:rPr>
      <w:t xml:space="preserve"> | </w:t>
    </w:r>
    <w:r w:rsidRPr="003C346B">
      <w:rPr>
        <w:sz w:val="16"/>
        <w:szCs w:val="16"/>
      </w:rPr>
      <w:fldChar w:fldCharType="begin"/>
    </w:r>
    <w:r w:rsidRPr="003C346B">
      <w:rPr>
        <w:sz w:val="16"/>
        <w:szCs w:val="16"/>
      </w:rPr>
      <w:instrText xml:space="preserve"> PAGE   \* MERGEFORMAT </w:instrText>
    </w:r>
    <w:r w:rsidRPr="003C346B">
      <w:rPr>
        <w:sz w:val="16"/>
        <w:szCs w:val="16"/>
      </w:rPr>
      <w:fldChar w:fldCharType="separate"/>
    </w:r>
    <w:r w:rsidR="0066479D" w:rsidRPr="0066479D">
      <w:rPr>
        <w:b/>
        <w:bCs/>
        <w:noProof/>
        <w:sz w:val="16"/>
        <w:szCs w:val="16"/>
      </w:rPr>
      <w:t>1</w:t>
    </w:r>
    <w:r w:rsidRPr="003C346B">
      <w:rPr>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B163" w14:textId="77777777" w:rsidR="0066479D" w:rsidRDefault="00664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18B4" w14:textId="77777777" w:rsidR="00585BC3" w:rsidRDefault="00585BC3" w:rsidP="00D169A6">
      <w:pPr>
        <w:spacing w:after="0" w:line="240" w:lineRule="auto"/>
      </w:pPr>
      <w:r>
        <w:separator/>
      </w:r>
    </w:p>
  </w:footnote>
  <w:footnote w:type="continuationSeparator" w:id="0">
    <w:p w14:paraId="0847E196" w14:textId="77777777" w:rsidR="00585BC3" w:rsidRDefault="00585BC3" w:rsidP="00D16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FF4D" w14:textId="77777777" w:rsidR="0066479D" w:rsidRDefault="00664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ABC1" w14:textId="77777777" w:rsidR="00D27CF7" w:rsidRPr="003C346B" w:rsidRDefault="00D27CF7" w:rsidP="00D27CF7">
    <w:pPr>
      <w:pStyle w:val="Header"/>
      <w:jc w:val="right"/>
      <w:rPr>
        <w:sz w:val="20"/>
        <w:szCs w:val="20"/>
      </w:rPr>
    </w:pPr>
    <w:r w:rsidRPr="003C346B">
      <w:rPr>
        <w:sz w:val="20"/>
        <w:szCs w:val="20"/>
      </w:rPr>
      <w:t>JR2019-</w:t>
    </w:r>
    <w:r w:rsidR="003C346B" w:rsidRPr="003C346B">
      <w:rPr>
        <w:sz w:val="20"/>
        <w:szCs w:val="20"/>
      </w:rPr>
      <w:t>003</w:t>
    </w:r>
  </w:p>
  <w:p w14:paraId="412ACEA0" w14:textId="77777777" w:rsidR="00D27CF7" w:rsidRPr="003C346B" w:rsidRDefault="00017FB4" w:rsidP="00D27CF7">
    <w:pPr>
      <w:pStyle w:val="Header"/>
      <w:jc w:val="right"/>
      <w:rPr>
        <w:sz w:val="20"/>
        <w:szCs w:val="20"/>
      </w:rPr>
    </w:pPr>
    <w:r>
      <w:rPr>
        <w:sz w:val="20"/>
        <w:szCs w:val="20"/>
      </w:rPr>
      <w:t>03 September</w:t>
    </w:r>
    <w:r w:rsidR="00D27CF7" w:rsidRPr="003C346B">
      <w:rPr>
        <w:sz w:val="20"/>
        <w:szCs w:val="20"/>
      </w:rPr>
      <w:t xml:space="preserve">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603B" w14:textId="77777777" w:rsidR="0066479D" w:rsidRDefault="00664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F5222"/>
    <w:multiLevelType w:val="hybridMultilevel"/>
    <w:tmpl w:val="6D2A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8134DC"/>
    <w:multiLevelType w:val="hybridMultilevel"/>
    <w:tmpl w:val="22E8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281625">
    <w:abstractNumId w:val="0"/>
  </w:num>
  <w:num w:numId="2" w16cid:durableId="169221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4"/>
    <w:rsid w:val="00001314"/>
    <w:rsid w:val="00017FB4"/>
    <w:rsid w:val="00057F99"/>
    <w:rsid w:val="00112F83"/>
    <w:rsid w:val="00116C7F"/>
    <w:rsid w:val="00152B8E"/>
    <w:rsid w:val="002254C9"/>
    <w:rsid w:val="00296FB6"/>
    <w:rsid w:val="003147FF"/>
    <w:rsid w:val="003C346B"/>
    <w:rsid w:val="00585BC3"/>
    <w:rsid w:val="00643EC1"/>
    <w:rsid w:val="0066479D"/>
    <w:rsid w:val="0067359C"/>
    <w:rsid w:val="00677998"/>
    <w:rsid w:val="00690583"/>
    <w:rsid w:val="006C729D"/>
    <w:rsid w:val="006E0416"/>
    <w:rsid w:val="006E7905"/>
    <w:rsid w:val="0078488D"/>
    <w:rsid w:val="00792D5E"/>
    <w:rsid w:val="0081530F"/>
    <w:rsid w:val="00836A86"/>
    <w:rsid w:val="008D6F59"/>
    <w:rsid w:val="00956154"/>
    <w:rsid w:val="0096634E"/>
    <w:rsid w:val="009A2359"/>
    <w:rsid w:val="00A42AAA"/>
    <w:rsid w:val="00A87C39"/>
    <w:rsid w:val="00A96A39"/>
    <w:rsid w:val="00B26E12"/>
    <w:rsid w:val="00C66EE9"/>
    <w:rsid w:val="00C73AEC"/>
    <w:rsid w:val="00D169A6"/>
    <w:rsid w:val="00D27CF7"/>
    <w:rsid w:val="00D76028"/>
    <w:rsid w:val="00DB3052"/>
    <w:rsid w:val="00DD7630"/>
    <w:rsid w:val="00EA12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5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A6"/>
    <w:rPr>
      <w:rFonts w:asciiTheme="majorHAnsi" w:hAnsiTheme="majorHAnsi"/>
    </w:rPr>
  </w:style>
  <w:style w:type="paragraph" w:styleId="Heading1">
    <w:name w:val="heading 1"/>
    <w:basedOn w:val="Normal"/>
    <w:next w:val="Normal"/>
    <w:link w:val="Heading1Char"/>
    <w:qFormat/>
    <w:rsid w:val="003C346B"/>
    <w:pPr>
      <w:keepNext/>
      <w:spacing w:before="720" w:after="720" w:line="240" w:lineRule="auto"/>
      <w:jc w:val="center"/>
      <w:outlineLvl w:val="0"/>
    </w:pPr>
    <w:rPr>
      <w:rFonts w:ascii="Times New Roman" w:eastAsia="Times New Roman" w:hAnsi="Times New Roman"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9A6"/>
  </w:style>
  <w:style w:type="paragraph" w:styleId="Footer">
    <w:name w:val="footer"/>
    <w:basedOn w:val="Normal"/>
    <w:link w:val="FooterChar"/>
    <w:uiPriority w:val="99"/>
    <w:unhideWhenUsed/>
    <w:rsid w:val="00D16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9A6"/>
  </w:style>
  <w:style w:type="paragraph" w:styleId="ListParagraph">
    <w:name w:val="List Paragraph"/>
    <w:basedOn w:val="Normal"/>
    <w:uiPriority w:val="34"/>
    <w:qFormat/>
    <w:rsid w:val="00001314"/>
    <w:pPr>
      <w:ind w:left="720"/>
      <w:contextualSpacing/>
    </w:pPr>
  </w:style>
  <w:style w:type="table" w:styleId="TableGrid">
    <w:name w:val="Table Grid"/>
    <w:basedOn w:val="TableNormal"/>
    <w:uiPriority w:val="99"/>
    <w:rsid w:val="00D27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CF7"/>
    <w:rPr>
      <w:rFonts w:ascii="Tahoma" w:hAnsi="Tahoma" w:cs="Tahoma"/>
      <w:sz w:val="16"/>
      <w:szCs w:val="16"/>
    </w:rPr>
  </w:style>
  <w:style w:type="character" w:customStyle="1" w:styleId="Heading1Char">
    <w:name w:val="Heading 1 Char"/>
    <w:basedOn w:val="DefaultParagraphFont"/>
    <w:link w:val="Heading1"/>
    <w:rsid w:val="003C346B"/>
    <w:rPr>
      <w:rFonts w:ascii="Times New Roman" w:eastAsia="Times New Roman" w:hAnsi="Times New Roman" w:cs="Times New Roman"/>
      <w:b/>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10499</Characters>
  <Application>Microsoft Office Word</Application>
  <DocSecurity>0</DocSecurity>
  <Lines>87</Lines>
  <Paragraphs>24</Paragraphs>
  <ScaleCrop>false</ScaleCrop>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2022-04-11T17:28:00Z</dcterms:created>
  <dcterms:modified xsi:type="dcterms:W3CDTF">2022-04-11T17:28:00Z</dcterms:modified>
</cp:coreProperties>
</file>