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97F6" w14:textId="01774673" w:rsidR="00D75E62" w:rsidRPr="00D92A8B" w:rsidRDefault="00A763FE">
      <w:pPr>
        <w:rPr>
          <w:rFonts w:cstheme="minorHAnsi"/>
          <w:b/>
          <w:sz w:val="44"/>
          <w:szCs w:val="44"/>
          <w:u w:val="single"/>
          <w:lang w:val="en-US"/>
        </w:rPr>
      </w:pPr>
      <w:r w:rsidRPr="00D92A8B">
        <w:rPr>
          <w:rFonts w:cstheme="minorHAnsi"/>
          <w:b/>
          <w:sz w:val="44"/>
          <w:szCs w:val="44"/>
          <w:u w:val="single"/>
          <w:lang w:val="en-US"/>
        </w:rPr>
        <w:t>Lineage &amp; Scheme Canada – Additional Information Handout</w:t>
      </w:r>
    </w:p>
    <w:p w14:paraId="6D2B04B2" w14:textId="0F80515E" w:rsidR="007B7680" w:rsidRPr="00D92A8B" w:rsidRDefault="0090124D">
      <w:pPr>
        <w:rPr>
          <w:rFonts w:cstheme="minorHAnsi"/>
          <w:lang w:val="en-US"/>
        </w:rPr>
      </w:pPr>
      <w:r w:rsidRPr="00D92A8B">
        <w:rPr>
          <w:rFonts w:cstheme="minorHAnsi"/>
          <w:b/>
          <w:sz w:val="28"/>
          <w:szCs w:val="28"/>
          <w:lang w:val="en-US"/>
        </w:rPr>
        <w:t>Terms of Trade</w:t>
      </w:r>
      <w:r w:rsidR="00A763FE" w:rsidRPr="00D92A8B">
        <w:rPr>
          <w:rFonts w:cstheme="minorHAnsi"/>
          <w:lang w:val="en-US"/>
        </w:rPr>
        <w:br/>
        <w:t>T</w:t>
      </w:r>
      <w:r w:rsidRPr="00D92A8B">
        <w:rPr>
          <w:rFonts w:cstheme="minorHAnsi"/>
          <w:lang w:val="en-US"/>
        </w:rPr>
        <w:t>he settlement of “regular” claim payments is based on Terms of Trade reflected on the Coverholder Contract term of the respective Binding Authority.  The Terms of trade can be 30, 60, 90, 120 depending on the agreement between the Underwriter the Coverholder/TPA</w:t>
      </w:r>
    </w:p>
    <w:p w14:paraId="266012B5" w14:textId="77777777" w:rsidR="0090124D" w:rsidRPr="00D92A8B" w:rsidRDefault="0090124D">
      <w:pPr>
        <w:rPr>
          <w:rFonts w:cstheme="minorHAnsi"/>
          <w:lang w:val="en-US"/>
        </w:rPr>
      </w:pPr>
      <w:r w:rsidRPr="00D92A8B">
        <w:rPr>
          <w:rFonts w:cstheme="minorHAnsi"/>
          <w:noProof/>
          <w:lang w:val="en-US"/>
        </w:rPr>
        <w:drawing>
          <wp:inline distT="0" distB="0" distL="0" distR="0" wp14:anchorId="364A2184" wp14:editId="0D46A563">
            <wp:extent cx="5892165" cy="444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90"/>
                    <a:stretch/>
                  </pic:blipFill>
                  <pic:spPr bwMode="auto">
                    <a:xfrm>
                      <a:off x="0" y="0"/>
                      <a:ext cx="5896121" cy="4447984"/>
                    </a:xfrm>
                    <a:prstGeom prst="rect">
                      <a:avLst/>
                    </a:prstGeom>
                    <a:ln>
                      <a:noFill/>
                    </a:ln>
                    <a:extLst>
                      <a:ext uri="{53640926-AAD7-44D8-BBD7-CCE9431645EC}">
                        <a14:shadowObscured xmlns:a14="http://schemas.microsoft.com/office/drawing/2010/main"/>
                      </a:ext>
                    </a:extLst>
                  </pic:spPr>
                </pic:pic>
              </a:graphicData>
            </a:graphic>
          </wp:inline>
        </w:drawing>
      </w:r>
    </w:p>
    <w:p w14:paraId="613DD395" w14:textId="59A00713" w:rsidR="00B53AF3" w:rsidRPr="00D92A8B" w:rsidRDefault="00A763FE">
      <w:pPr>
        <w:rPr>
          <w:rFonts w:cstheme="minorHAnsi"/>
          <w:lang w:val="en-US"/>
        </w:rPr>
      </w:pPr>
      <w:r w:rsidRPr="00D92A8B">
        <w:rPr>
          <w:rFonts w:cstheme="minorHAnsi"/>
          <w:lang w:val="en-US"/>
        </w:rPr>
        <w:t>6</w:t>
      </w:r>
      <w:r w:rsidRPr="00D92A8B">
        <w:rPr>
          <w:rFonts w:cstheme="minorHAnsi"/>
          <w:vertAlign w:val="superscript"/>
          <w:lang w:val="en-US"/>
        </w:rPr>
        <w:t>th</w:t>
      </w:r>
      <w:r w:rsidRPr="00D92A8B">
        <w:rPr>
          <w:rFonts w:cstheme="minorHAnsi"/>
          <w:lang w:val="en-US"/>
        </w:rPr>
        <w:t xml:space="preserve"> January 2023</w:t>
      </w:r>
      <w:r w:rsidR="00B53AF3" w:rsidRPr="00D92A8B">
        <w:rPr>
          <w:rFonts w:cstheme="minorHAnsi"/>
          <w:lang w:val="en-US"/>
        </w:rPr>
        <w:t xml:space="preserve"> – Payment processed/approved.  Terms of trade is 30 days</w:t>
      </w:r>
      <w:r w:rsidRPr="00D92A8B">
        <w:rPr>
          <w:rFonts w:cstheme="minorHAnsi"/>
          <w:lang w:val="en-US"/>
        </w:rPr>
        <w:t xml:space="preserve">. </w:t>
      </w:r>
      <w:r w:rsidR="00B53AF3" w:rsidRPr="00D92A8B">
        <w:rPr>
          <w:rFonts w:cstheme="minorHAnsi"/>
          <w:lang w:val="en-US"/>
        </w:rPr>
        <w:t>Payment will be settled on 28</w:t>
      </w:r>
      <w:r w:rsidR="00B53AF3" w:rsidRPr="00D92A8B">
        <w:rPr>
          <w:rFonts w:cstheme="minorHAnsi"/>
          <w:vertAlign w:val="superscript"/>
          <w:lang w:val="en-US"/>
        </w:rPr>
        <w:t>th</w:t>
      </w:r>
      <w:r w:rsidR="00B53AF3" w:rsidRPr="00D92A8B">
        <w:rPr>
          <w:rFonts w:cstheme="minorHAnsi"/>
          <w:lang w:val="en-US"/>
        </w:rPr>
        <w:t xml:space="preserve"> </w:t>
      </w:r>
      <w:r w:rsidRPr="00D92A8B">
        <w:rPr>
          <w:rFonts w:cstheme="minorHAnsi"/>
          <w:lang w:val="en-US"/>
        </w:rPr>
        <w:t xml:space="preserve">February </w:t>
      </w:r>
      <w:r w:rsidR="00B53AF3" w:rsidRPr="00D92A8B">
        <w:rPr>
          <w:rFonts w:cstheme="minorHAnsi"/>
          <w:lang w:val="en-US"/>
        </w:rPr>
        <w:t>2023</w:t>
      </w:r>
    </w:p>
    <w:p w14:paraId="7E3220BB" w14:textId="77777777" w:rsidR="007672A8" w:rsidRDefault="007672A8">
      <w:pPr>
        <w:rPr>
          <w:rFonts w:cstheme="minorHAnsi"/>
          <w:b/>
          <w:sz w:val="28"/>
          <w:szCs w:val="28"/>
          <w:lang w:val="en-US"/>
        </w:rPr>
      </w:pPr>
    </w:p>
    <w:p w14:paraId="0908E552" w14:textId="77777777" w:rsidR="007672A8" w:rsidRDefault="007672A8">
      <w:pPr>
        <w:rPr>
          <w:rFonts w:cstheme="minorHAnsi"/>
          <w:b/>
          <w:sz w:val="28"/>
          <w:szCs w:val="28"/>
          <w:lang w:val="en-US"/>
        </w:rPr>
      </w:pPr>
    </w:p>
    <w:p w14:paraId="2F18BD9B" w14:textId="77777777" w:rsidR="007672A8" w:rsidRDefault="007672A8">
      <w:pPr>
        <w:rPr>
          <w:rFonts w:cstheme="minorHAnsi"/>
          <w:b/>
          <w:sz w:val="28"/>
          <w:szCs w:val="28"/>
          <w:lang w:val="en-US"/>
        </w:rPr>
      </w:pPr>
    </w:p>
    <w:p w14:paraId="11AE1CE7" w14:textId="77777777" w:rsidR="007672A8" w:rsidRDefault="007672A8">
      <w:pPr>
        <w:rPr>
          <w:rFonts w:cstheme="minorHAnsi"/>
          <w:b/>
          <w:sz w:val="28"/>
          <w:szCs w:val="28"/>
          <w:lang w:val="en-US"/>
        </w:rPr>
      </w:pPr>
    </w:p>
    <w:p w14:paraId="51D3CC98" w14:textId="27D36909" w:rsidR="00D11291" w:rsidRPr="00D92A8B" w:rsidRDefault="0090124D">
      <w:pPr>
        <w:rPr>
          <w:rFonts w:cstheme="minorHAnsi"/>
          <w:lang w:val="en-US"/>
        </w:rPr>
      </w:pPr>
      <w:r w:rsidRPr="00D92A8B">
        <w:rPr>
          <w:rFonts w:cstheme="minorHAnsi"/>
          <w:b/>
          <w:sz w:val="28"/>
          <w:szCs w:val="28"/>
          <w:lang w:val="en-US"/>
        </w:rPr>
        <w:lastRenderedPageBreak/>
        <w:t>Accounting Month</w:t>
      </w:r>
      <w:r w:rsidRPr="00D92A8B">
        <w:rPr>
          <w:rFonts w:cstheme="minorHAnsi"/>
          <w:lang w:val="en-US"/>
        </w:rPr>
        <w:t xml:space="preserve"> </w:t>
      </w:r>
      <w:r w:rsidR="00A763FE" w:rsidRPr="00D92A8B">
        <w:rPr>
          <w:rFonts w:cstheme="minorHAnsi"/>
          <w:lang w:val="en-US"/>
        </w:rPr>
        <w:br/>
      </w:r>
      <w:r w:rsidRPr="00D92A8B">
        <w:rPr>
          <w:rFonts w:cstheme="minorHAnsi"/>
          <w:lang w:val="en-US"/>
        </w:rPr>
        <w:t xml:space="preserve">On the Lineage application, the closure of an accounting month is based on the set Scheme Canada Calendar and this date is always the </w:t>
      </w:r>
      <w:r w:rsidR="00415582" w:rsidRPr="00D92A8B">
        <w:rPr>
          <w:rFonts w:cstheme="minorHAnsi"/>
          <w:lang w:val="en-US"/>
        </w:rPr>
        <w:t>second b</w:t>
      </w:r>
      <w:r w:rsidRPr="00D92A8B">
        <w:rPr>
          <w:rFonts w:cstheme="minorHAnsi"/>
          <w:lang w:val="en-US"/>
        </w:rPr>
        <w:t xml:space="preserve">usiness day of the following month </w:t>
      </w:r>
      <w:proofErr w:type="gramStart"/>
      <w:r w:rsidRPr="00D92A8B">
        <w:rPr>
          <w:rFonts w:cstheme="minorHAnsi"/>
          <w:lang w:val="en-US"/>
        </w:rPr>
        <w:t>i.e.</w:t>
      </w:r>
      <w:proofErr w:type="gramEnd"/>
      <w:r w:rsidRPr="00D92A8B">
        <w:rPr>
          <w:rFonts w:cstheme="minorHAnsi"/>
          <w:lang w:val="en-US"/>
        </w:rPr>
        <w:t xml:space="preserve"> January 2023 accounting month will be closed on 2</w:t>
      </w:r>
      <w:r w:rsidRPr="00D92A8B">
        <w:rPr>
          <w:rFonts w:cstheme="minorHAnsi"/>
          <w:vertAlign w:val="superscript"/>
          <w:lang w:val="en-US"/>
        </w:rPr>
        <w:t>nd</w:t>
      </w:r>
      <w:r w:rsidR="00415582" w:rsidRPr="00D92A8B">
        <w:rPr>
          <w:rFonts w:cstheme="minorHAnsi"/>
          <w:vertAlign w:val="superscript"/>
          <w:lang w:val="en-US"/>
        </w:rPr>
        <w:t xml:space="preserve"> </w:t>
      </w:r>
      <w:r w:rsidR="00415582" w:rsidRPr="00D92A8B">
        <w:rPr>
          <w:rFonts w:cstheme="minorHAnsi"/>
          <w:lang w:val="en-US"/>
        </w:rPr>
        <w:t xml:space="preserve">February </w:t>
      </w:r>
      <w:r w:rsidRPr="00D92A8B">
        <w:rPr>
          <w:rFonts w:cstheme="minorHAnsi"/>
          <w:lang w:val="en-US"/>
        </w:rPr>
        <w:t>2023.  Any claim payment reported and approved by 2</w:t>
      </w:r>
      <w:r w:rsidRPr="00D92A8B">
        <w:rPr>
          <w:rFonts w:cstheme="minorHAnsi"/>
          <w:vertAlign w:val="superscript"/>
          <w:lang w:val="en-US"/>
        </w:rPr>
        <w:t>nd</w:t>
      </w:r>
      <w:r w:rsidR="00415582" w:rsidRPr="00D92A8B">
        <w:rPr>
          <w:rFonts w:cstheme="minorHAnsi"/>
          <w:lang w:val="en-US"/>
        </w:rPr>
        <w:t xml:space="preserve"> February</w:t>
      </w:r>
      <w:r w:rsidRPr="00D92A8B">
        <w:rPr>
          <w:rFonts w:cstheme="minorHAnsi"/>
          <w:lang w:val="en-US"/>
        </w:rPr>
        <w:t xml:space="preserve"> will fall on the January 2023 Accounting month reports</w:t>
      </w:r>
      <w:r w:rsidR="00B53AF3" w:rsidRPr="00D92A8B">
        <w:rPr>
          <w:rFonts w:cstheme="minorHAnsi"/>
          <w:lang w:val="en-US"/>
        </w:rPr>
        <w:t xml:space="preserve"> and </w:t>
      </w:r>
      <w:r w:rsidR="00415582" w:rsidRPr="00D92A8B">
        <w:rPr>
          <w:rFonts w:cstheme="minorHAnsi"/>
          <w:lang w:val="en-US"/>
        </w:rPr>
        <w:t>s</w:t>
      </w:r>
      <w:r w:rsidR="00B53AF3" w:rsidRPr="00D92A8B">
        <w:rPr>
          <w:rFonts w:cstheme="minorHAnsi"/>
          <w:lang w:val="en-US"/>
        </w:rPr>
        <w:t xml:space="preserve">ettled </w:t>
      </w:r>
      <w:r w:rsidR="00415582" w:rsidRPr="00D92A8B">
        <w:rPr>
          <w:rFonts w:cstheme="minorHAnsi"/>
          <w:lang w:val="en-US"/>
        </w:rPr>
        <w:t xml:space="preserve">at the </w:t>
      </w:r>
      <w:r w:rsidR="00B53AF3" w:rsidRPr="00D92A8B">
        <w:rPr>
          <w:rFonts w:cstheme="minorHAnsi"/>
          <w:lang w:val="en-US"/>
        </w:rPr>
        <w:t>end of February if the Terms of Trade was 30 days</w:t>
      </w:r>
      <w:r w:rsidRPr="00D92A8B">
        <w:rPr>
          <w:rFonts w:cstheme="minorHAnsi"/>
          <w:lang w:val="en-US"/>
        </w:rPr>
        <w:t>.</w:t>
      </w:r>
    </w:p>
    <w:p w14:paraId="1EA2159C" w14:textId="77777777" w:rsidR="0090124D" w:rsidRPr="00D92A8B" w:rsidRDefault="0090124D">
      <w:pPr>
        <w:rPr>
          <w:rFonts w:cstheme="minorHAnsi"/>
          <w:lang w:val="en-US"/>
        </w:rPr>
      </w:pPr>
      <w:r w:rsidRPr="00D92A8B">
        <w:rPr>
          <w:rFonts w:cstheme="minorHAnsi"/>
          <w:noProof/>
          <w:lang w:val="en-US"/>
        </w:rPr>
        <w:drawing>
          <wp:inline distT="0" distB="0" distL="0" distR="0" wp14:anchorId="4887F764" wp14:editId="232A9118">
            <wp:extent cx="5943600" cy="406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064000"/>
                    </a:xfrm>
                    <a:prstGeom prst="rect">
                      <a:avLst/>
                    </a:prstGeom>
                  </pic:spPr>
                </pic:pic>
              </a:graphicData>
            </a:graphic>
          </wp:inline>
        </w:drawing>
      </w:r>
    </w:p>
    <w:p w14:paraId="4B23B3F3" w14:textId="237F1955" w:rsidR="0090124D" w:rsidRDefault="0090124D">
      <w:pPr>
        <w:rPr>
          <w:rFonts w:cstheme="minorHAnsi"/>
          <w:lang w:val="en-US"/>
        </w:rPr>
      </w:pPr>
    </w:p>
    <w:p w14:paraId="5DFB8A26" w14:textId="15EFBD75" w:rsidR="006745F8" w:rsidRDefault="006745F8">
      <w:pPr>
        <w:rPr>
          <w:rFonts w:cstheme="minorHAnsi"/>
          <w:lang w:val="en-US"/>
        </w:rPr>
      </w:pPr>
    </w:p>
    <w:p w14:paraId="619ADE86" w14:textId="77777777" w:rsidR="008A5533" w:rsidRDefault="008A5533">
      <w:pPr>
        <w:rPr>
          <w:rFonts w:cstheme="minorHAnsi"/>
          <w:b/>
          <w:sz w:val="28"/>
          <w:szCs w:val="28"/>
          <w:lang w:val="en-US"/>
        </w:rPr>
      </w:pPr>
      <w:r>
        <w:rPr>
          <w:rFonts w:cstheme="minorHAnsi"/>
          <w:b/>
          <w:sz w:val="28"/>
          <w:szCs w:val="28"/>
          <w:lang w:val="en-US"/>
        </w:rPr>
        <w:br w:type="page"/>
      </w:r>
    </w:p>
    <w:p w14:paraId="2943E954" w14:textId="12CDDA5D" w:rsidR="006745F8" w:rsidRDefault="00BA5C37">
      <w:pPr>
        <w:rPr>
          <w:rFonts w:cstheme="minorHAnsi"/>
          <w:b/>
          <w:sz w:val="28"/>
          <w:szCs w:val="28"/>
          <w:lang w:val="en-US"/>
        </w:rPr>
      </w:pPr>
      <w:r w:rsidRPr="00BA5C37">
        <w:rPr>
          <w:rFonts w:cstheme="minorHAnsi"/>
          <w:b/>
          <w:sz w:val="28"/>
          <w:szCs w:val="28"/>
          <w:lang w:val="en-US"/>
        </w:rPr>
        <w:lastRenderedPageBreak/>
        <w:t>I-Items</w:t>
      </w:r>
      <w:r>
        <w:rPr>
          <w:rFonts w:cstheme="minorHAnsi"/>
          <w:b/>
          <w:sz w:val="28"/>
          <w:szCs w:val="28"/>
          <w:lang w:val="en-US"/>
        </w:rPr>
        <w:t xml:space="preserve"> – Example</w:t>
      </w:r>
      <w:r w:rsidR="0084249F">
        <w:rPr>
          <w:rFonts w:cstheme="minorHAnsi"/>
          <w:b/>
          <w:sz w:val="28"/>
          <w:szCs w:val="28"/>
          <w:lang w:val="en-US"/>
        </w:rPr>
        <w:br/>
      </w:r>
    </w:p>
    <w:p w14:paraId="519AF9FD" w14:textId="77777777" w:rsidR="008A5533" w:rsidRPr="008A5533" w:rsidRDefault="008A5533" w:rsidP="008A5533">
      <w:pPr>
        <w:numPr>
          <w:ilvl w:val="0"/>
          <w:numId w:val="6"/>
        </w:numPr>
        <w:rPr>
          <w:rFonts w:cstheme="minorHAnsi"/>
          <w:bCs/>
          <w:lang w:val="en-US"/>
        </w:rPr>
      </w:pPr>
      <w:r w:rsidRPr="008A5533">
        <w:rPr>
          <w:rFonts w:cstheme="minorHAnsi"/>
          <w:bCs/>
          <w:lang w:val="en-GB"/>
        </w:rPr>
        <w:t>A request was made by underwriters for an individual claim entry on 24</w:t>
      </w:r>
      <w:r w:rsidRPr="008A5533">
        <w:rPr>
          <w:rFonts w:cstheme="minorHAnsi"/>
          <w:bCs/>
          <w:vertAlign w:val="superscript"/>
          <w:lang w:val="en-GB"/>
        </w:rPr>
        <w:t>th</w:t>
      </w:r>
      <w:r w:rsidRPr="008A5533">
        <w:rPr>
          <w:rFonts w:cstheme="minorHAnsi"/>
          <w:bCs/>
          <w:lang w:val="en-GB"/>
        </w:rPr>
        <w:t xml:space="preserve"> January 2023.</w:t>
      </w:r>
    </w:p>
    <w:p w14:paraId="168773B5" w14:textId="77777777" w:rsidR="008A5533" w:rsidRPr="008A5533" w:rsidRDefault="008A5533" w:rsidP="00AC6D78">
      <w:pPr>
        <w:numPr>
          <w:ilvl w:val="0"/>
          <w:numId w:val="6"/>
        </w:numPr>
        <w:rPr>
          <w:rFonts w:cstheme="minorHAnsi"/>
          <w:bCs/>
          <w:lang w:val="en-US"/>
        </w:rPr>
      </w:pPr>
      <w:r w:rsidRPr="008A5533">
        <w:rPr>
          <w:rFonts w:cstheme="minorHAnsi"/>
          <w:bCs/>
          <w:lang w:val="en-GB"/>
        </w:rPr>
        <w:t xml:space="preserve">The first check made is the </w:t>
      </w:r>
      <w:r w:rsidRPr="008A5533">
        <w:rPr>
          <w:rFonts w:cstheme="minorHAnsi"/>
          <w:b/>
          <w:lang w:val="en-GB"/>
        </w:rPr>
        <w:t>Terms of Trade</w:t>
      </w:r>
      <w:r w:rsidRPr="008A5533">
        <w:rPr>
          <w:rFonts w:cstheme="minorHAnsi"/>
          <w:bCs/>
          <w:lang w:val="en-GB"/>
        </w:rPr>
        <w:t xml:space="preserve"> for claims as per the binding authority slip. This is also shown on the binding authority level in lineage. In this instance the terms of trade for claims </w:t>
      </w:r>
      <w:proofErr w:type="gramStart"/>
      <w:r w:rsidRPr="008A5533">
        <w:rPr>
          <w:rFonts w:cstheme="minorHAnsi"/>
          <w:bCs/>
          <w:lang w:val="en-GB"/>
        </w:rPr>
        <w:t>was</w:t>
      </w:r>
      <w:proofErr w:type="gramEnd"/>
      <w:r w:rsidRPr="008A5533">
        <w:rPr>
          <w:rFonts w:cstheme="minorHAnsi"/>
          <w:bCs/>
          <w:lang w:val="en-GB"/>
        </w:rPr>
        <w:t xml:space="preserve"> 30 days.</w:t>
      </w:r>
    </w:p>
    <w:p w14:paraId="18D3FF11" w14:textId="39769D90" w:rsidR="008A5533" w:rsidRPr="008A5533" w:rsidRDefault="008A5533" w:rsidP="00AC6D78">
      <w:pPr>
        <w:numPr>
          <w:ilvl w:val="0"/>
          <w:numId w:val="6"/>
        </w:numPr>
        <w:rPr>
          <w:rFonts w:cstheme="minorHAnsi"/>
          <w:bCs/>
          <w:lang w:val="en-US"/>
        </w:rPr>
      </w:pPr>
      <w:r w:rsidRPr="008A5533">
        <w:rPr>
          <w:rFonts w:cstheme="minorHAnsi"/>
          <w:bCs/>
        </w:rPr>
        <w:drawing>
          <wp:inline distT="0" distB="0" distL="0" distR="0" wp14:anchorId="50AEDF03" wp14:editId="5FAE53F9">
            <wp:extent cx="4933950" cy="876300"/>
            <wp:effectExtent l="0" t="0" r="0" b="0"/>
            <wp:docPr id="6" name="Picture 5">
              <a:extLst xmlns:a="http://schemas.openxmlformats.org/drawingml/2006/main">
                <a:ext uri="{FF2B5EF4-FFF2-40B4-BE49-F238E27FC236}">
                  <a16:creationId xmlns:a16="http://schemas.microsoft.com/office/drawing/2014/main" id="{9920F026-8A9E-4DCF-BDD4-C9523DA050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920F026-8A9E-4DCF-BDD4-C9523DA05083}"/>
                        </a:ext>
                      </a:extLst>
                    </pic:cNvPr>
                    <pic:cNvPicPr>
                      <a:picLocks noChangeAspect="1"/>
                    </pic:cNvPicPr>
                  </pic:nvPicPr>
                  <pic:blipFill>
                    <a:blip r:embed="rId9"/>
                    <a:stretch>
                      <a:fillRect/>
                    </a:stretch>
                  </pic:blipFill>
                  <pic:spPr>
                    <a:xfrm>
                      <a:off x="0" y="0"/>
                      <a:ext cx="4933950" cy="876300"/>
                    </a:xfrm>
                    <a:prstGeom prst="rect">
                      <a:avLst/>
                    </a:prstGeom>
                  </pic:spPr>
                </pic:pic>
              </a:graphicData>
            </a:graphic>
          </wp:inline>
        </w:drawing>
      </w:r>
    </w:p>
    <w:p w14:paraId="47B31F12" w14:textId="1E80595A" w:rsidR="008A5533" w:rsidRPr="008A5533" w:rsidRDefault="008A5533" w:rsidP="008A5533">
      <w:pPr>
        <w:numPr>
          <w:ilvl w:val="0"/>
          <w:numId w:val="6"/>
        </w:numPr>
        <w:rPr>
          <w:rFonts w:cstheme="minorHAnsi"/>
          <w:bCs/>
          <w:lang w:val="en-US"/>
        </w:rPr>
      </w:pPr>
      <w:r w:rsidRPr="008A5533">
        <w:rPr>
          <w:rFonts w:cstheme="minorHAnsi"/>
          <w:bCs/>
          <w:lang w:val="en-GB"/>
        </w:rPr>
        <w:t xml:space="preserve">If the </w:t>
      </w:r>
      <w:r w:rsidR="00E53A79" w:rsidRPr="008A5533">
        <w:rPr>
          <w:rFonts w:cstheme="minorHAnsi"/>
          <w:bCs/>
          <w:lang w:val="en-GB"/>
        </w:rPr>
        <w:t>term</w:t>
      </w:r>
      <w:r w:rsidRPr="008A5533">
        <w:rPr>
          <w:rFonts w:cstheme="minorHAnsi"/>
          <w:bCs/>
          <w:lang w:val="en-GB"/>
        </w:rPr>
        <w:t xml:space="preserve"> of trade is </w:t>
      </w:r>
      <w:r w:rsidRPr="008A5533">
        <w:rPr>
          <w:rFonts w:cstheme="minorHAnsi"/>
          <w:b/>
          <w:lang w:val="en-GB"/>
        </w:rPr>
        <w:t>greater</w:t>
      </w:r>
      <w:r w:rsidRPr="008A5533">
        <w:rPr>
          <w:rFonts w:cstheme="minorHAnsi"/>
          <w:bCs/>
          <w:lang w:val="en-GB"/>
        </w:rPr>
        <w:t xml:space="preserve"> than 30 </w:t>
      </w:r>
      <w:proofErr w:type="gramStart"/>
      <w:r w:rsidRPr="008A5533">
        <w:rPr>
          <w:rFonts w:cstheme="minorHAnsi"/>
          <w:bCs/>
          <w:lang w:val="en-GB"/>
        </w:rPr>
        <w:t>days</w:t>
      </w:r>
      <w:proofErr w:type="gramEnd"/>
      <w:r w:rsidRPr="008A5533">
        <w:rPr>
          <w:rFonts w:cstheme="minorHAnsi"/>
          <w:bCs/>
          <w:lang w:val="en-GB"/>
        </w:rPr>
        <w:t xml:space="preserve"> then payments </w:t>
      </w:r>
      <w:r w:rsidRPr="008A5533">
        <w:rPr>
          <w:rFonts w:cstheme="minorHAnsi"/>
          <w:b/>
          <w:lang w:val="en-GB"/>
        </w:rPr>
        <w:t>will be pushed forward by one calendar month per extra 30 days added</w:t>
      </w:r>
      <w:r w:rsidRPr="008A5533">
        <w:rPr>
          <w:rFonts w:cstheme="minorHAnsi"/>
          <w:bCs/>
          <w:lang w:val="en-GB"/>
        </w:rPr>
        <w:t xml:space="preserve">. For example, for 60 days terms of trade a payment would </w:t>
      </w:r>
      <w:r w:rsidR="00E53A79">
        <w:rPr>
          <w:rFonts w:cstheme="minorHAnsi"/>
          <w:bCs/>
          <w:lang w:val="en-GB"/>
        </w:rPr>
        <w:t xml:space="preserve">be </w:t>
      </w:r>
      <w:r w:rsidRPr="008A5533">
        <w:rPr>
          <w:rFonts w:cstheme="minorHAnsi"/>
          <w:bCs/>
          <w:lang w:val="en-GB"/>
        </w:rPr>
        <w:t>pushed into the next month’s calendar extract period and uploaded into XCS CLASS one month later than for the usual 30 days terms of trade cases.</w:t>
      </w:r>
    </w:p>
    <w:p w14:paraId="3DBBCEDB" w14:textId="11176E5A" w:rsidR="008A5533" w:rsidRPr="00E53A79" w:rsidRDefault="008A5533" w:rsidP="008A5533">
      <w:pPr>
        <w:numPr>
          <w:ilvl w:val="0"/>
          <w:numId w:val="6"/>
        </w:numPr>
        <w:rPr>
          <w:rFonts w:cstheme="minorHAnsi"/>
          <w:bCs/>
          <w:lang w:val="en-US"/>
        </w:rPr>
      </w:pPr>
      <w:r w:rsidRPr="008A5533">
        <w:rPr>
          <w:rFonts w:cstheme="minorHAnsi"/>
          <w:bCs/>
          <w:lang w:val="en-GB"/>
        </w:rPr>
        <w:t>In this example, at the time of set up on 24</w:t>
      </w:r>
      <w:r w:rsidRPr="008A5533">
        <w:rPr>
          <w:rFonts w:cstheme="minorHAnsi"/>
          <w:bCs/>
          <w:vertAlign w:val="superscript"/>
          <w:lang w:val="en-GB"/>
        </w:rPr>
        <w:t>th</w:t>
      </w:r>
      <w:r w:rsidRPr="008A5533">
        <w:rPr>
          <w:rFonts w:cstheme="minorHAnsi"/>
          <w:bCs/>
          <w:lang w:val="en-GB"/>
        </w:rPr>
        <w:t xml:space="preserve"> January 2023, the last bordereau extract from Lineage into XCS CLASS would have been at </w:t>
      </w:r>
      <w:r w:rsidRPr="008A5533">
        <w:rPr>
          <w:rFonts w:cstheme="minorHAnsi"/>
          <w:b/>
          <w:lang w:val="en-GB"/>
        </w:rPr>
        <w:t>the end of December 2022, that is the November 2022 extract period.</w:t>
      </w:r>
      <w:r w:rsidRPr="008A5533">
        <w:rPr>
          <w:rFonts w:cstheme="minorHAnsi"/>
          <w:bCs/>
          <w:lang w:val="en-GB"/>
        </w:rPr>
        <w:t xml:space="preserve"> </w:t>
      </w:r>
    </w:p>
    <w:p w14:paraId="285BC121" w14:textId="77777777" w:rsidR="00AE3BF3" w:rsidRPr="00AE3BF3" w:rsidRDefault="00AE3BF3" w:rsidP="00AE3BF3">
      <w:pPr>
        <w:numPr>
          <w:ilvl w:val="0"/>
          <w:numId w:val="7"/>
        </w:numPr>
        <w:rPr>
          <w:rFonts w:cstheme="minorHAnsi"/>
          <w:bCs/>
          <w:lang w:val="en-US"/>
        </w:rPr>
      </w:pPr>
      <w:r w:rsidRPr="00AE3BF3">
        <w:rPr>
          <w:rFonts w:cstheme="minorHAnsi"/>
          <w:bCs/>
          <w:lang w:val="en-GB"/>
        </w:rPr>
        <w:t>The extract period for the November 2022 bordereau ran from 3</w:t>
      </w:r>
      <w:r w:rsidRPr="00AE3BF3">
        <w:rPr>
          <w:rFonts w:cstheme="minorHAnsi"/>
          <w:bCs/>
          <w:vertAlign w:val="superscript"/>
          <w:lang w:val="en-GB"/>
        </w:rPr>
        <w:t>rd</w:t>
      </w:r>
      <w:r w:rsidRPr="00AE3BF3">
        <w:rPr>
          <w:rFonts w:cstheme="minorHAnsi"/>
          <w:bCs/>
          <w:lang w:val="en-GB"/>
        </w:rPr>
        <w:t xml:space="preserve"> November </w:t>
      </w:r>
      <w:r w:rsidRPr="00AE3BF3">
        <w:rPr>
          <w:rFonts w:cstheme="minorHAnsi"/>
          <w:b/>
          <w:bCs/>
          <w:lang w:val="en-GB"/>
        </w:rPr>
        <w:t>up to and including</w:t>
      </w:r>
      <w:r w:rsidRPr="00AE3BF3">
        <w:rPr>
          <w:rFonts w:cstheme="minorHAnsi"/>
          <w:bCs/>
          <w:lang w:val="en-GB"/>
        </w:rPr>
        <w:t xml:space="preserve"> 2</w:t>
      </w:r>
      <w:r w:rsidRPr="00AE3BF3">
        <w:rPr>
          <w:rFonts w:cstheme="minorHAnsi"/>
          <w:bCs/>
          <w:vertAlign w:val="superscript"/>
          <w:lang w:val="en-GB"/>
        </w:rPr>
        <w:t>nd</w:t>
      </w:r>
      <w:r w:rsidRPr="00AE3BF3">
        <w:rPr>
          <w:rFonts w:cstheme="minorHAnsi"/>
          <w:bCs/>
          <w:lang w:val="en-GB"/>
        </w:rPr>
        <w:t xml:space="preserve"> December 2022.</w:t>
      </w:r>
    </w:p>
    <w:p w14:paraId="774DCCF3" w14:textId="38096A65" w:rsidR="008A5533" w:rsidRPr="008A5533" w:rsidRDefault="00AE3BF3" w:rsidP="00E53A79">
      <w:pPr>
        <w:rPr>
          <w:rFonts w:cstheme="minorHAnsi"/>
          <w:bCs/>
          <w:u w:val="single"/>
          <w:lang w:val="en-US"/>
        </w:rPr>
      </w:pPr>
      <w:r w:rsidRPr="00AE3BF3">
        <w:rPr>
          <w:rFonts w:cstheme="minorHAnsi"/>
          <w:b/>
        </w:rPr>
        <w:drawing>
          <wp:anchor distT="0" distB="0" distL="114300" distR="114300" simplePos="0" relativeHeight="251658240" behindDoc="0" locked="0" layoutInCell="1" allowOverlap="1" wp14:anchorId="2BD2DCF1" wp14:editId="5C4379CF">
            <wp:simplePos x="0" y="0"/>
            <wp:positionH relativeFrom="margin">
              <wp:align>center</wp:align>
            </wp:positionH>
            <wp:positionV relativeFrom="paragraph">
              <wp:posOffset>116205</wp:posOffset>
            </wp:positionV>
            <wp:extent cx="4305300" cy="1847850"/>
            <wp:effectExtent l="0" t="0" r="0" b="0"/>
            <wp:wrapSquare wrapText="bothSides"/>
            <wp:docPr id="10" name="Picture 9">
              <a:extLst xmlns:a="http://schemas.openxmlformats.org/drawingml/2006/main">
                <a:ext uri="{FF2B5EF4-FFF2-40B4-BE49-F238E27FC236}">
                  <a16:creationId xmlns:a16="http://schemas.microsoft.com/office/drawing/2014/main" id="{FA034746-A0D1-487D-84CA-3882CFB300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FA034746-A0D1-487D-84CA-3882CFB300FF}"/>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05300" cy="1847850"/>
                    </a:xfrm>
                    <a:prstGeom prst="rect">
                      <a:avLst/>
                    </a:prstGeom>
                  </pic:spPr>
                </pic:pic>
              </a:graphicData>
            </a:graphic>
          </wp:anchor>
        </w:drawing>
      </w:r>
    </w:p>
    <w:p w14:paraId="23DBB981" w14:textId="2ED838D7" w:rsidR="00BA5C37" w:rsidRPr="008A5533" w:rsidRDefault="00BA5C37">
      <w:pPr>
        <w:rPr>
          <w:rFonts w:cstheme="minorHAnsi"/>
          <w:b/>
          <w:lang w:val="en-US"/>
        </w:rPr>
      </w:pPr>
    </w:p>
    <w:p w14:paraId="33BB468C" w14:textId="77777777" w:rsidR="0090124D" w:rsidRPr="008A5533" w:rsidRDefault="0090124D">
      <w:pPr>
        <w:rPr>
          <w:rFonts w:cstheme="minorHAnsi"/>
          <w:lang w:val="en-US"/>
        </w:rPr>
      </w:pPr>
    </w:p>
    <w:p w14:paraId="5552D397" w14:textId="01C43164" w:rsidR="007672A8" w:rsidRDefault="007672A8">
      <w:pPr>
        <w:rPr>
          <w:rFonts w:cstheme="minorHAnsi"/>
          <w:b/>
          <w:sz w:val="44"/>
          <w:szCs w:val="44"/>
          <w:u w:val="single"/>
          <w:lang w:val="en-US"/>
        </w:rPr>
      </w:pPr>
      <w:r>
        <w:rPr>
          <w:rFonts w:cstheme="minorHAnsi"/>
          <w:b/>
          <w:sz w:val="44"/>
          <w:szCs w:val="44"/>
          <w:u w:val="single"/>
          <w:lang w:val="en-US"/>
        </w:rPr>
        <w:br w:type="page"/>
      </w:r>
    </w:p>
    <w:p w14:paraId="3E5844D6" w14:textId="7AA27D6F" w:rsidR="0046346C" w:rsidRPr="0046346C" w:rsidRDefault="0046346C" w:rsidP="0046346C">
      <w:pPr>
        <w:numPr>
          <w:ilvl w:val="0"/>
          <w:numId w:val="8"/>
        </w:numPr>
        <w:rPr>
          <w:rFonts w:cstheme="minorHAnsi"/>
          <w:bCs/>
          <w:lang w:val="en-US"/>
        </w:rPr>
      </w:pPr>
      <w:r w:rsidRPr="0046346C">
        <w:rPr>
          <w:rFonts w:cstheme="minorHAnsi"/>
          <w:b/>
          <w:sz w:val="44"/>
          <w:szCs w:val="44"/>
          <w:u w:val="single"/>
        </w:rPr>
        <w:lastRenderedPageBreak/>
        <w:drawing>
          <wp:anchor distT="0" distB="0" distL="114300" distR="114300" simplePos="0" relativeHeight="251659264" behindDoc="0" locked="0" layoutInCell="1" allowOverlap="1" wp14:anchorId="2A5020EB" wp14:editId="5C5B3C8C">
            <wp:simplePos x="0" y="0"/>
            <wp:positionH relativeFrom="column">
              <wp:posOffset>66675</wp:posOffset>
            </wp:positionH>
            <wp:positionV relativeFrom="paragraph">
              <wp:posOffset>685800</wp:posOffset>
            </wp:positionV>
            <wp:extent cx="5943600" cy="3785235"/>
            <wp:effectExtent l="0" t="0" r="0" b="5715"/>
            <wp:wrapSquare wrapText="bothSides"/>
            <wp:docPr id="9" name="Picture 8">
              <a:extLst xmlns:a="http://schemas.openxmlformats.org/drawingml/2006/main">
                <a:ext uri="{FF2B5EF4-FFF2-40B4-BE49-F238E27FC236}">
                  <a16:creationId xmlns:a16="http://schemas.microsoft.com/office/drawing/2014/main" id="{FD10AE33-9D26-4903-9E0C-96090E6FBE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D10AE33-9D26-4903-9E0C-96090E6FBEE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3600" cy="3785235"/>
                    </a:xfrm>
                    <a:prstGeom prst="rect">
                      <a:avLst/>
                    </a:prstGeom>
                  </pic:spPr>
                </pic:pic>
              </a:graphicData>
            </a:graphic>
          </wp:anchor>
        </w:drawing>
      </w:r>
      <w:r w:rsidRPr="0046346C">
        <w:rPr>
          <w:rFonts w:cstheme="minorHAnsi"/>
          <w:bCs/>
          <w:lang w:val="en-GB"/>
        </w:rPr>
        <w:t>Any payment/refund made on or after 3</w:t>
      </w:r>
      <w:r w:rsidRPr="0046346C">
        <w:rPr>
          <w:rFonts w:cstheme="minorHAnsi"/>
          <w:bCs/>
          <w:vertAlign w:val="superscript"/>
          <w:lang w:val="en-GB"/>
        </w:rPr>
        <w:t>rd</w:t>
      </w:r>
      <w:r w:rsidRPr="0046346C">
        <w:rPr>
          <w:rFonts w:cstheme="minorHAnsi"/>
          <w:bCs/>
          <w:lang w:val="en-GB"/>
        </w:rPr>
        <w:t xml:space="preserve"> December 2022 was therefore be discounted from the paid to date calculation and included under the outstanding reserve as it will not yet have been transacted in XCS CLASS.</w:t>
      </w:r>
    </w:p>
    <w:p w14:paraId="0F99D7C3" w14:textId="11DF4E40" w:rsidR="0046346C" w:rsidRDefault="0046346C" w:rsidP="0046346C">
      <w:pPr>
        <w:rPr>
          <w:rFonts w:cstheme="minorHAnsi"/>
          <w:bCs/>
          <w:lang w:val="en-GB"/>
        </w:rPr>
      </w:pPr>
    </w:p>
    <w:p w14:paraId="3EC9A5BF" w14:textId="0ABAF564" w:rsidR="0046346C" w:rsidRDefault="0046346C" w:rsidP="0046346C">
      <w:pPr>
        <w:rPr>
          <w:rFonts w:cstheme="minorHAnsi"/>
          <w:bCs/>
          <w:lang w:val="en-GB"/>
        </w:rPr>
      </w:pPr>
    </w:p>
    <w:p w14:paraId="2A092DE9" w14:textId="4164C123" w:rsidR="0046346C" w:rsidRDefault="0084249F" w:rsidP="00520D64">
      <w:pPr>
        <w:pStyle w:val="ListParagraph"/>
        <w:numPr>
          <w:ilvl w:val="0"/>
          <w:numId w:val="12"/>
        </w:numPr>
        <w:tabs>
          <w:tab w:val="num" w:pos="720"/>
        </w:tabs>
        <w:rPr>
          <w:noProof/>
        </w:rPr>
      </w:pPr>
      <w:r w:rsidRPr="00307906">
        <w:rPr>
          <w:rFonts w:cstheme="minorHAnsi"/>
          <w:bCs/>
          <w:u w:val="single"/>
        </w:rPr>
        <w:drawing>
          <wp:anchor distT="0" distB="0" distL="114300" distR="114300" simplePos="0" relativeHeight="251660288" behindDoc="0" locked="0" layoutInCell="1" allowOverlap="1" wp14:anchorId="23118304" wp14:editId="31042DFB">
            <wp:simplePos x="0" y="0"/>
            <wp:positionH relativeFrom="margin">
              <wp:posOffset>2647315</wp:posOffset>
            </wp:positionH>
            <wp:positionV relativeFrom="paragraph">
              <wp:posOffset>13970</wp:posOffset>
            </wp:positionV>
            <wp:extent cx="3363595" cy="3157855"/>
            <wp:effectExtent l="0" t="0" r="8255" b="4445"/>
            <wp:wrapSquare wrapText="bothSides"/>
            <wp:docPr id="3" name="Picture 5">
              <a:extLst xmlns:a="http://schemas.openxmlformats.org/drawingml/2006/main">
                <a:ext uri="{FF2B5EF4-FFF2-40B4-BE49-F238E27FC236}">
                  <a16:creationId xmlns:a16="http://schemas.microsoft.com/office/drawing/2014/main" id="{B37AC1CD-7151-430C-B059-CFFE282C14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37AC1CD-7151-430C-B059-CFFE282C14F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63595" cy="3157855"/>
                    </a:xfrm>
                    <a:prstGeom prst="rect">
                      <a:avLst/>
                    </a:prstGeom>
                  </pic:spPr>
                </pic:pic>
              </a:graphicData>
            </a:graphic>
            <wp14:sizeRelH relativeFrom="margin">
              <wp14:pctWidth>0</wp14:pctWidth>
            </wp14:sizeRelH>
            <wp14:sizeRelV relativeFrom="margin">
              <wp14:pctHeight>0</wp14:pctHeight>
            </wp14:sizeRelV>
          </wp:anchor>
        </w:drawing>
      </w:r>
      <w:r w:rsidR="00307906" w:rsidRPr="0084249F">
        <w:rPr>
          <w:rFonts w:ascii="Calibri" w:eastAsia="+mn-ea" w:hAnsi="Calibri" w:cs="+mn-cs"/>
          <w:color w:val="000000"/>
          <w:kern w:val="24"/>
          <w:lang w:val="en-US"/>
        </w:rPr>
        <w:t xml:space="preserve">The individual class entry was created using all the unique claim details and a positive financial movement is noted moving the paid and outstanding reserves under its own claim office reference </w:t>
      </w:r>
      <w:r w:rsidR="00307906" w:rsidRPr="0084249F">
        <w:rPr>
          <w:rFonts w:ascii="Calibri" w:eastAsia="+mn-ea" w:hAnsi="Calibri" w:cs="+mn-cs"/>
          <w:color w:val="0070C0"/>
          <w:kern w:val="24"/>
          <w:lang w:val="en-US"/>
        </w:rPr>
        <w:t>(C.O.R) </w:t>
      </w:r>
    </w:p>
    <w:p w14:paraId="696FB8B6" w14:textId="4D33459B" w:rsidR="0046346C" w:rsidRDefault="0046346C" w:rsidP="0046346C">
      <w:pPr>
        <w:rPr>
          <w:noProof/>
        </w:rPr>
      </w:pPr>
    </w:p>
    <w:p w14:paraId="7EEA5EBE" w14:textId="0710A949" w:rsidR="0046346C" w:rsidRDefault="0046346C" w:rsidP="0046346C">
      <w:pPr>
        <w:rPr>
          <w:noProof/>
        </w:rPr>
      </w:pPr>
    </w:p>
    <w:p w14:paraId="6EFF5767" w14:textId="3D1BF04D" w:rsidR="0046346C" w:rsidRPr="0046346C" w:rsidRDefault="0046346C" w:rsidP="0046346C">
      <w:pPr>
        <w:rPr>
          <w:rFonts w:cstheme="minorHAnsi"/>
          <w:bCs/>
          <w:u w:val="single"/>
          <w:lang w:val="en-US"/>
        </w:rPr>
      </w:pPr>
    </w:p>
    <w:p w14:paraId="4606EAD7" w14:textId="71085059" w:rsidR="003103F6" w:rsidRDefault="003103F6">
      <w:pPr>
        <w:rPr>
          <w:rFonts w:cstheme="minorHAnsi"/>
          <w:b/>
          <w:sz w:val="44"/>
          <w:szCs w:val="44"/>
          <w:u w:val="single"/>
          <w:lang w:val="en-US"/>
        </w:rPr>
      </w:pPr>
    </w:p>
    <w:p w14:paraId="106493F2" w14:textId="48B4B8EB" w:rsidR="003103F6" w:rsidRDefault="003103F6">
      <w:pPr>
        <w:rPr>
          <w:rFonts w:cstheme="minorHAnsi"/>
          <w:b/>
          <w:sz w:val="44"/>
          <w:szCs w:val="44"/>
          <w:u w:val="single"/>
          <w:lang w:val="en-US"/>
        </w:rPr>
      </w:pPr>
    </w:p>
    <w:p w14:paraId="0C3EFD51" w14:textId="06ABCBE9" w:rsidR="003103F6" w:rsidRDefault="0084249F">
      <w:pPr>
        <w:rPr>
          <w:rFonts w:cstheme="minorHAnsi"/>
          <w:b/>
          <w:sz w:val="44"/>
          <w:szCs w:val="44"/>
          <w:u w:val="single"/>
          <w:lang w:val="en-US"/>
        </w:rPr>
      </w:pPr>
      <w:r w:rsidRPr="00307906">
        <w:rPr>
          <w:rFonts w:cstheme="minorHAnsi"/>
          <w:bCs/>
          <w:u w:val="single"/>
        </w:rPr>
        <w:lastRenderedPageBreak/>
        <w:drawing>
          <wp:anchor distT="0" distB="0" distL="114300" distR="114300" simplePos="0" relativeHeight="251661312" behindDoc="0" locked="0" layoutInCell="1" allowOverlap="1" wp14:anchorId="42B5FCE9" wp14:editId="69161CB4">
            <wp:simplePos x="0" y="0"/>
            <wp:positionH relativeFrom="margin">
              <wp:posOffset>1259945</wp:posOffset>
            </wp:positionH>
            <wp:positionV relativeFrom="paragraph">
              <wp:posOffset>13335</wp:posOffset>
            </wp:positionV>
            <wp:extent cx="3474085" cy="3737610"/>
            <wp:effectExtent l="0" t="0" r="0" b="0"/>
            <wp:wrapSquare wrapText="bothSides"/>
            <wp:docPr id="8" name="Picture 7">
              <a:extLst xmlns:a="http://schemas.openxmlformats.org/drawingml/2006/main">
                <a:ext uri="{FF2B5EF4-FFF2-40B4-BE49-F238E27FC236}">
                  <a16:creationId xmlns:a16="http://schemas.microsoft.com/office/drawing/2014/main" id="{D922C936-43BC-4222-A5B4-84020E14A4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922C936-43BC-4222-A5B4-84020E14A49F}"/>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474085" cy="3737610"/>
                    </a:xfrm>
                    <a:prstGeom prst="rect">
                      <a:avLst/>
                    </a:prstGeom>
                  </pic:spPr>
                </pic:pic>
              </a:graphicData>
            </a:graphic>
            <wp14:sizeRelH relativeFrom="margin">
              <wp14:pctWidth>0</wp14:pctWidth>
            </wp14:sizeRelH>
            <wp14:sizeRelV relativeFrom="margin">
              <wp14:pctHeight>0</wp14:pctHeight>
            </wp14:sizeRelV>
          </wp:anchor>
        </w:drawing>
      </w:r>
    </w:p>
    <w:p w14:paraId="02A464B3" w14:textId="3D7683D1" w:rsidR="003103F6" w:rsidRDefault="003103F6">
      <w:pPr>
        <w:rPr>
          <w:rFonts w:cstheme="minorHAnsi"/>
          <w:b/>
          <w:sz w:val="44"/>
          <w:szCs w:val="44"/>
          <w:u w:val="single"/>
          <w:lang w:val="en-US"/>
        </w:rPr>
      </w:pPr>
    </w:p>
    <w:p w14:paraId="636E96BA" w14:textId="291EF461" w:rsidR="003103F6" w:rsidRDefault="003103F6">
      <w:pPr>
        <w:rPr>
          <w:rFonts w:cstheme="minorHAnsi"/>
          <w:b/>
          <w:sz w:val="44"/>
          <w:szCs w:val="44"/>
          <w:u w:val="single"/>
          <w:lang w:val="en-US"/>
        </w:rPr>
      </w:pPr>
    </w:p>
    <w:p w14:paraId="7BC1B2A2" w14:textId="56708047" w:rsidR="003103F6" w:rsidRDefault="003103F6">
      <w:pPr>
        <w:rPr>
          <w:rFonts w:cstheme="minorHAnsi"/>
          <w:bCs/>
          <w:u w:val="single"/>
          <w:lang w:val="en-GB"/>
        </w:rPr>
      </w:pPr>
    </w:p>
    <w:p w14:paraId="34F5F517" w14:textId="5AC85044" w:rsidR="0084249F" w:rsidRDefault="0084249F">
      <w:pPr>
        <w:rPr>
          <w:rFonts w:cstheme="minorHAnsi"/>
          <w:bCs/>
          <w:u w:val="single"/>
          <w:lang w:val="en-GB"/>
        </w:rPr>
      </w:pPr>
    </w:p>
    <w:p w14:paraId="51BC2388" w14:textId="39AC08A6" w:rsidR="0084249F" w:rsidRDefault="0084249F">
      <w:pPr>
        <w:rPr>
          <w:rFonts w:cstheme="minorHAnsi"/>
          <w:bCs/>
          <w:u w:val="single"/>
          <w:lang w:val="en-GB"/>
        </w:rPr>
      </w:pPr>
    </w:p>
    <w:p w14:paraId="17D4A5E5" w14:textId="53ECF0A5" w:rsidR="0084249F" w:rsidRDefault="0084249F">
      <w:pPr>
        <w:rPr>
          <w:rFonts w:cstheme="minorHAnsi"/>
          <w:bCs/>
          <w:u w:val="single"/>
          <w:lang w:val="en-GB"/>
        </w:rPr>
      </w:pPr>
    </w:p>
    <w:p w14:paraId="43D8DB75" w14:textId="7167F875" w:rsidR="0084249F" w:rsidRDefault="0084249F">
      <w:pPr>
        <w:rPr>
          <w:rFonts w:cstheme="minorHAnsi"/>
          <w:bCs/>
          <w:u w:val="single"/>
          <w:lang w:val="en-GB"/>
        </w:rPr>
      </w:pPr>
    </w:p>
    <w:p w14:paraId="3CB3A25B" w14:textId="52684EA8" w:rsidR="0084249F" w:rsidRDefault="0084249F">
      <w:pPr>
        <w:rPr>
          <w:rFonts w:cstheme="minorHAnsi"/>
          <w:bCs/>
          <w:u w:val="single"/>
          <w:lang w:val="en-GB"/>
        </w:rPr>
      </w:pPr>
    </w:p>
    <w:p w14:paraId="069E5575" w14:textId="0341157E" w:rsidR="0084249F" w:rsidRDefault="0084249F">
      <w:pPr>
        <w:rPr>
          <w:rFonts w:cstheme="minorHAnsi"/>
          <w:bCs/>
          <w:u w:val="single"/>
          <w:lang w:val="en-GB"/>
        </w:rPr>
      </w:pPr>
    </w:p>
    <w:p w14:paraId="72E227C9" w14:textId="691D3FE2" w:rsidR="0084249F" w:rsidRDefault="0084249F">
      <w:pPr>
        <w:rPr>
          <w:rFonts w:cstheme="minorHAnsi"/>
          <w:bCs/>
          <w:u w:val="single"/>
          <w:lang w:val="en-GB"/>
        </w:rPr>
      </w:pPr>
    </w:p>
    <w:p w14:paraId="2228A73B" w14:textId="6B1A3664" w:rsidR="0084249F" w:rsidRDefault="0084249F">
      <w:pPr>
        <w:rPr>
          <w:rFonts w:cstheme="minorHAnsi"/>
          <w:bCs/>
          <w:u w:val="single"/>
          <w:lang w:val="en-GB"/>
        </w:rPr>
      </w:pPr>
    </w:p>
    <w:p w14:paraId="67A597AE" w14:textId="0BEE74DB" w:rsidR="0084249F" w:rsidRDefault="0084249F">
      <w:pPr>
        <w:rPr>
          <w:rFonts w:cstheme="minorHAnsi"/>
          <w:bCs/>
          <w:u w:val="single"/>
          <w:lang w:val="en-GB"/>
        </w:rPr>
      </w:pPr>
    </w:p>
    <w:p w14:paraId="2AF6C11D" w14:textId="519211A4" w:rsidR="00760F74" w:rsidRPr="00760F74" w:rsidRDefault="00760F74" w:rsidP="00760F74">
      <w:pPr>
        <w:numPr>
          <w:ilvl w:val="0"/>
          <w:numId w:val="10"/>
        </w:numPr>
        <w:spacing w:after="0" w:line="216" w:lineRule="auto"/>
        <w:ind w:left="1080"/>
        <w:contextualSpacing/>
        <w:rPr>
          <w:rFonts w:ascii="Times New Roman" w:eastAsia="Times New Roman" w:hAnsi="Times New Roman" w:cs="Times New Roman"/>
          <w:lang w:val="en-US"/>
        </w:rPr>
      </w:pPr>
      <w:r w:rsidRPr="00760F74">
        <w:rPr>
          <w:rFonts w:eastAsiaTheme="minorEastAsia" w:hAnsi="Calibri"/>
          <w:color w:val="000000" w:themeColor="text1"/>
          <w:kern w:val="24"/>
          <w:lang w:val="en-GB"/>
        </w:rPr>
        <w:t xml:space="preserve">A second transaction was then made in XCS class under the </w:t>
      </w:r>
      <w:r w:rsidRPr="00760F74">
        <w:rPr>
          <w:rFonts w:eastAsiaTheme="minorEastAsia" w:hAnsi="Calibri"/>
          <w:b/>
          <w:bCs/>
          <w:color w:val="0070C0"/>
          <w:kern w:val="24"/>
          <w:lang w:val="en-GB"/>
        </w:rPr>
        <w:t>block</w:t>
      </w:r>
      <w:r w:rsidRPr="00760F74">
        <w:rPr>
          <w:rFonts w:eastAsiaTheme="minorEastAsia" w:hAnsi="Calibri"/>
          <w:color w:val="000000" w:themeColor="text1"/>
          <w:kern w:val="24"/>
          <w:lang w:val="en-GB"/>
        </w:rPr>
        <w:t xml:space="preserve"> claims office reference (C.O.R.) and </w:t>
      </w:r>
      <w:r w:rsidRPr="00760F74">
        <w:rPr>
          <w:rFonts w:eastAsiaTheme="minorEastAsia" w:hAnsi="Calibri"/>
          <w:color w:val="0070C0"/>
          <w:kern w:val="24"/>
          <w:lang w:val="en-GB"/>
        </w:rPr>
        <w:t>the outstanding reserve and the paid to date was reduced accordingly</w:t>
      </w:r>
      <w:r w:rsidRPr="00760F74">
        <w:rPr>
          <w:rFonts w:eastAsiaTheme="minorEastAsia" w:hAnsi="Calibri"/>
          <w:color w:val="000000" w:themeColor="text1"/>
          <w:kern w:val="24"/>
          <w:lang w:val="en-GB"/>
        </w:rPr>
        <w:t xml:space="preserve">. </w:t>
      </w:r>
    </w:p>
    <w:p w14:paraId="575B519F" w14:textId="57FB43BD" w:rsidR="00760F74" w:rsidRPr="00760F74" w:rsidRDefault="00760F74" w:rsidP="00760F74">
      <w:pPr>
        <w:numPr>
          <w:ilvl w:val="0"/>
          <w:numId w:val="10"/>
        </w:numPr>
        <w:spacing w:after="0" w:line="216" w:lineRule="auto"/>
        <w:ind w:left="1080"/>
        <w:contextualSpacing/>
        <w:rPr>
          <w:rFonts w:ascii="Times New Roman" w:eastAsia="Times New Roman" w:hAnsi="Times New Roman" w:cs="Times New Roman"/>
          <w:lang w:val="en-US"/>
        </w:rPr>
      </w:pPr>
      <w:r w:rsidRPr="00760F74">
        <w:rPr>
          <w:rFonts w:eastAsiaTheme="minorEastAsia" w:hAnsi="Calibri"/>
          <w:color w:val="0070C0"/>
          <w:kern w:val="24"/>
          <w:lang w:val="en-GB"/>
        </w:rPr>
        <w:t>Lineage was updated</w:t>
      </w:r>
      <w:r w:rsidRPr="00760F74">
        <w:rPr>
          <w:rFonts w:eastAsiaTheme="minorEastAsia" w:hAnsi="Calibri"/>
          <w:b/>
          <w:bCs/>
          <w:color w:val="0070C0"/>
          <w:kern w:val="24"/>
          <w:lang w:val="en-GB"/>
        </w:rPr>
        <w:t xml:space="preserve"> </w:t>
      </w:r>
      <w:r w:rsidRPr="00760F74">
        <w:rPr>
          <w:rFonts w:eastAsiaTheme="minorEastAsia" w:hAnsi="Calibri"/>
          <w:color w:val="000000" w:themeColor="text1"/>
          <w:kern w:val="24"/>
          <w:lang w:val="en-GB"/>
        </w:rPr>
        <w:t>to show the new claims office reference (C.O.R.) for the individual class entry.</w:t>
      </w:r>
    </w:p>
    <w:p w14:paraId="222919AD" w14:textId="6BBBAAF9" w:rsidR="00760F74" w:rsidRDefault="0084249F">
      <w:pPr>
        <w:rPr>
          <w:rFonts w:cstheme="minorHAnsi"/>
          <w:bCs/>
          <w:u w:val="single"/>
          <w:lang w:val="en-GB"/>
        </w:rPr>
      </w:pPr>
      <w:r w:rsidRPr="00765830">
        <w:rPr>
          <w:rFonts w:cstheme="minorHAnsi"/>
          <w:bCs/>
          <w:u w:val="single"/>
        </w:rPr>
        <w:drawing>
          <wp:anchor distT="0" distB="0" distL="114300" distR="114300" simplePos="0" relativeHeight="251662336" behindDoc="0" locked="0" layoutInCell="1" allowOverlap="1" wp14:anchorId="686EA3E1" wp14:editId="072A1EBA">
            <wp:simplePos x="0" y="0"/>
            <wp:positionH relativeFrom="margin">
              <wp:align>center</wp:align>
            </wp:positionH>
            <wp:positionV relativeFrom="paragraph">
              <wp:posOffset>196518</wp:posOffset>
            </wp:positionV>
            <wp:extent cx="3256915" cy="2906395"/>
            <wp:effectExtent l="0" t="0" r="635" b="8255"/>
            <wp:wrapSquare wrapText="bothSides"/>
            <wp:docPr id="4" name="Picture 9">
              <a:extLst xmlns:a="http://schemas.openxmlformats.org/drawingml/2006/main">
                <a:ext uri="{FF2B5EF4-FFF2-40B4-BE49-F238E27FC236}">
                  <a16:creationId xmlns:a16="http://schemas.microsoft.com/office/drawing/2014/main" id="{4011687D-601B-4B4C-8D5E-8AEFBB7F68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011687D-601B-4B4C-8D5E-8AEFBB7F68D0}"/>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256915" cy="2906395"/>
                    </a:xfrm>
                    <a:prstGeom prst="rect">
                      <a:avLst/>
                    </a:prstGeom>
                  </pic:spPr>
                </pic:pic>
              </a:graphicData>
            </a:graphic>
            <wp14:sizeRelH relativeFrom="margin">
              <wp14:pctWidth>0</wp14:pctWidth>
            </wp14:sizeRelH>
            <wp14:sizeRelV relativeFrom="margin">
              <wp14:pctHeight>0</wp14:pctHeight>
            </wp14:sizeRelV>
          </wp:anchor>
        </w:drawing>
      </w:r>
    </w:p>
    <w:p w14:paraId="193DA2B5" w14:textId="407D3D6C" w:rsidR="005B0598" w:rsidRDefault="005B0598">
      <w:pPr>
        <w:rPr>
          <w:rFonts w:cstheme="minorHAnsi"/>
          <w:bCs/>
          <w:u w:val="single"/>
          <w:lang w:val="en-GB"/>
        </w:rPr>
      </w:pPr>
    </w:p>
    <w:p w14:paraId="1FAA2F4E" w14:textId="611F8BEB" w:rsidR="005B0598" w:rsidRDefault="005B0598">
      <w:pPr>
        <w:rPr>
          <w:rFonts w:cstheme="minorHAnsi"/>
          <w:bCs/>
          <w:u w:val="single"/>
          <w:lang w:val="en-GB"/>
        </w:rPr>
      </w:pPr>
    </w:p>
    <w:p w14:paraId="246D96D7" w14:textId="1B407679" w:rsidR="005B0598" w:rsidRDefault="005B0598">
      <w:pPr>
        <w:rPr>
          <w:rFonts w:cstheme="minorHAnsi"/>
          <w:bCs/>
          <w:u w:val="single"/>
          <w:lang w:val="en-GB"/>
        </w:rPr>
      </w:pPr>
    </w:p>
    <w:p w14:paraId="130DB48F" w14:textId="71CC691B" w:rsidR="005B0598" w:rsidRDefault="005B0598">
      <w:pPr>
        <w:rPr>
          <w:rFonts w:cstheme="minorHAnsi"/>
          <w:bCs/>
          <w:u w:val="single"/>
          <w:lang w:val="en-GB"/>
        </w:rPr>
      </w:pPr>
    </w:p>
    <w:p w14:paraId="6A009662" w14:textId="339627D0" w:rsidR="005B0598" w:rsidRDefault="005B0598">
      <w:pPr>
        <w:rPr>
          <w:rFonts w:cstheme="minorHAnsi"/>
          <w:bCs/>
          <w:u w:val="single"/>
          <w:lang w:val="en-GB"/>
        </w:rPr>
      </w:pPr>
    </w:p>
    <w:p w14:paraId="228213DB" w14:textId="5CD209A9" w:rsidR="005B0598" w:rsidRDefault="005B0598">
      <w:pPr>
        <w:rPr>
          <w:rFonts w:cstheme="minorHAnsi"/>
          <w:bCs/>
          <w:u w:val="single"/>
          <w:lang w:val="en-GB"/>
        </w:rPr>
      </w:pPr>
    </w:p>
    <w:p w14:paraId="36425C0A" w14:textId="77777777" w:rsidR="005B0598" w:rsidRDefault="005B0598" w:rsidP="005B0598">
      <w:pPr>
        <w:rPr>
          <w:rFonts w:cstheme="minorHAnsi"/>
          <w:bCs/>
          <w:u w:val="single"/>
          <w:lang w:val="en-US"/>
        </w:rPr>
      </w:pPr>
    </w:p>
    <w:p w14:paraId="4A71E10F" w14:textId="77777777" w:rsidR="005B0598" w:rsidRDefault="005B0598" w:rsidP="005B0598">
      <w:pPr>
        <w:rPr>
          <w:rFonts w:cstheme="minorHAnsi"/>
          <w:bCs/>
          <w:u w:val="single"/>
          <w:lang w:val="en-US"/>
        </w:rPr>
      </w:pPr>
    </w:p>
    <w:p w14:paraId="142C76E9" w14:textId="4DC7E9DD" w:rsidR="005B0598" w:rsidRDefault="005B0598" w:rsidP="005B0598">
      <w:pPr>
        <w:rPr>
          <w:rFonts w:cstheme="minorHAnsi"/>
          <w:bCs/>
          <w:u w:val="single"/>
          <w:lang w:val="en-US"/>
        </w:rPr>
      </w:pPr>
    </w:p>
    <w:p w14:paraId="40CA2395" w14:textId="77777777" w:rsidR="005B0598" w:rsidRDefault="005B0598" w:rsidP="005B0598">
      <w:pPr>
        <w:rPr>
          <w:rFonts w:cstheme="minorHAnsi"/>
          <w:bCs/>
          <w:u w:val="single"/>
          <w:lang w:val="en-US"/>
        </w:rPr>
      </w:pPr>
    </w:p>
    <w:p w14:paraId="64794F31" w14:textId="77777777" w:rsidR="005B0598" w:rsidRDefault="005B0598" w:rsidP="005B0598">
      <w:pPr>
        <w:rPr>
          <w:rFonts w:cstheme="minorHAnsi"/>
          <w:bCs/>
          <w:u w:val="single"/>
          <w:lang w:val="en-US"/>
        </w:rPr>
      </w:pPr>
    </w:p>
    <w:p w14:paraId="46FACDD6" w14:textId="429556FE" w:rsidR="005B0598" w:rsidRPr="00052780" w:rsidRDefault="005B0598" w:rsidP="005B0598">
      <w:pPr>
        <w:pStyle w:val="ListParagraph"/>
        <w:numPr>
          <w:ilvl w:val="0"/>
          <w:numId w:val="11"/>
        </w:numPr>
        <w:rPr>
          <w:rFonts w:cstheme="minorHAnsi"/>
          <w:bCs/>
          <w:lang w:val="en-US"/>
        </w:rPr>
      </w:pPr>
      <w:r w:rsidRPr="0084249F">
        <w:rPr>
          <w:rFonts w:cstheme="minorHAnsi"/>
          <w:bCs/>
          <w:lang w:val="en-US"/>
        </w:rPr>
        <w:lastRenderedPageBreak/>
        <w:t xml:space="preserve">The lineage entry is now an individual </w:t>
      </w:r>
      <w:r w:rsidRPr="0084249F">
        <w:rPr>
          <w:rFonts w:cstheme="minorHAnsi"/>
          <w:b/>
          <w:bCs/>
          <w:lang w:val="en-US"/>
        </w:rPr>
        <w:t>(I Item)</w:t>
      </w:r>
    </w:p>
    <w:p w14:paraId="76371B72" w14:textId="190F4AC4" w:rsidR="00052780" w:rsidRPr="00052780" w:rsidRDefault="00052780" w:rsidP="00052780">
      <w:pPr>
        <w:rPr>
          <w:rFonts w:cstheme="minorHAnsi"/>
          <w:bCs/>
          <w:lang w:val="en-US"/>
        </w:rPr>
      </w:pPr>
      <w:r w:rsidRPr="00052780">
        <w:rPr>
          <w:rFonts w:cstheme="minorHAnsi"/>
          <w:bCs/>
        </w:rPr>
        <w:drawing>
          <wp:inline distT="0" distB="0" distL="0" distR="0" wp14:anchorId="7AB40216" wp14:editId="3EC0D4FB">
            <wp:extent cx="5943600" cy="3958590"/>
            <wp:effectExtent l="0" t="0" r="0" b="3810"/>
            <wp:docPr id="7" name="Picture 5">
              <a:extLst xmlns:a="http://schemas.openxmlformats.org/drawingml/2006/main">
                <a:ext uri="{FF2B5EF4-FFF2-40B4-BE49-F238E27FC236}">
                  <a16:creationId xmlns:a16="http://schemas.microsoft.com/office/drawing/2014/main" id="{978C1D2E-3D1B-487C-AF05-3FF527649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78C1D2E-3D1B-487C-AF05-3FF527649D4B}"/>
                        </a:ext>
                      </a:extLst>
                    </pic:cNvPr>
                    <pic:cNvPicPr>
                      <a:picLocks noChangeAspect="1"/>
                    </pic:cNvPicPr>
                  </pic:nvPicPr>
                  <pic:blipFill>
                    <a:blip r:embed="rId15"/>
                    <a:stretch>
                      <a:fillRect/>
                    </a:stretch>
                  </pic:blipFill>
                  <pic:spPr>
                    <a:xfrm>
                      <a:off x="0" y="0"/>
                      <a:ext cx="5943600" cy="3958590"/>
                    </a:xfrm>
                    <a:prstGeom prst="rect">
                      <a:avLst/>
                    </a:prstGeom>
                  </pic:spPr>
                </pic:pic>
              </a:graphicData>
            </a:graphic>
          </wp:inline>
        </w:drawing>
      </w:r>
    </w:p>
    <w:p w14:paraId="0CD60068" w14:textId="77777777" w:rsidR="005B0598" w:rsidRDefault="005B0598">
      <w:pPr>
        <w:rPr>
          <w:rFonts w:cstheme="minorHAnsi"/>
          <w:bCs/>
          <w:u w:val="single"/>
          <w:lang w:val="en-GB"/>
        </w:rPr>
      </w:pPr>
    </w:p>
    <w:p w14:paraId="44FBD572" w14:textId="17B1294D" w:rsidR="00760F74" w:rsidRDefault="00760F74">
      <w:pPr>
        <w:rPr>
          <w:rFonts w:cstheme="minorHAnsi"/>
          <w:bCs/>
          <w:u w:val="single"/>
          <w:lang w:val="en-GB"/>
        </w:rPr>
      </w:pPr>
    </w:p>
    <w:p w14:paraId="75EB0290" w14:textId="77777777" w:rsidR="00AE3BF3" w:rsidRDefault="00AE3BF3">
      <w:pPr>
        <w:rPr>
          <w:rFonts w:cstheme="minorHAnsi"/>
          <w:b/>
          <w:sz w:val="44"/>
          <w:szCs w:val="44"/>
          <w:u w:val="single"/>
          <w:lang w:val="en-US"/>
        </w:rPr>
      </w:pPr>
    </w:p>
    <w:p w14:paraId="68A6F40C" w14:textId="77777777" w:rsidR="00765830" w:rsidRDefault="00765830">
      <w:pPr>
        <w:rPr>
          <w:rFonts w:cstheme="minorHAnsi"/>
          <w:b/>
          <w:sz w:val="44"/>
          <w:szCs w:val="44"/>
          <w:u w:val="single"/>
          <w:lang w:val="en-US"/>
        </w:rPr>
      </w:pPr>
    </w:p>
    <w:p w14:paraId="17A5BCC9" w14:textId="77777777" w:rsidR="00765830" w:rsidRDefault="00765830">
      <w:pPr>
        <w:rPr>
          <w:rFonts w:cstheme="minorHAnsi"/>
          <w:b/>
          <w:sz w:val="44"/>
          <w:szCs w:val="44"/>
          <w:u w:val="single"/>
          <w:lang w:val="en-US"/>
        </w:rPr>
      </w:pPr>
    </w:p>
    <w:p w14:paraId="0702F196" w14:textId="76361C22" w:rsidR="00765830" w:rsidRDefault="00B56A1F">
      <w:pPr>
        <w:rPr>
          <w:rFonts w:cstheme="minorHAnsi"/>
          <w:b/>
          <w:sz w:val="44"/>
          <w:szCs w:val="44"/>
          <w:u w:val="single"/>
          <w:lang w:val="en-US"/>
        </w:rPr>
      </w:pPr>
      <w:r>
        <w:rPr>
          <w:rFonts w:cstheme="minorHAnsi"/>
          <w:b/>
          <w:sz w:val="44"/>
          <w:szCs w:val="44"/>
          <w:u w:val="single"/>
          <w:lang w:val="en-US"/>
        </w:rPr>
        <w:t xml:space="preserve"> </w:t>
      </w:r>
    </w:p>
    <w:p w14:paraId="2CE08263" w14:textId="77777777" w:rsidR="00765830" w:rsidRDefault="00765830">
      <w:pPr>
        <w:rPr>
          <w:rFonts w:cstheme="minorHAnsi"/>
          <w:b/>
          <w:sz w:val="44"/>
          <w:szCs w:val="44"/>
          <w:u w:val="single"/>
          <w:lang w:val="en-US"/>
        </w:rPr>
      </w:pPr>
    </w:p>
    <w:p w14:paraId="07C8344B" w14:textId="77777777" w:rsidR="00765830" w:rsidRDefault="00765830">
      <w:pPr>
        <w:rPr>
          <w:rFonts w:cstheme="minorHAnsi"/>
          <w:b/>
          <w:sz w:val="44"/>
          <w:szCs w:val="44"/>
          <w:u w:val="single"/>
          <w:lang w:val="en-US"/>
        </w:rPr>
      </w:pPr>
    </w:p>
    <w:p w14:paraId="34802C5E" w14:textId="77777777" w:rsidR="00765830" w:rsidRDefault="00765830">
      <w:pPr>
        <w:rPr>
          <w:rFonts w:cstheme="minorHAnsi"/>
          <w:b/>
          <w:sz w:val="44"/>
          <w:szCs w:val="44"/>
          <w:u w:val="single"/>
          <w:lang w:val="en-US"/>
        </w:rPr>
      </w:pPr>
    </w:p>
    <w:p w14:paraId="180753EF" w14:textId="268AC3A4" w:rsidR="003D77FC" w:rsidRPr="00D92A8B" w:rsidRDefault="003D77FC">
      <w:pPr>
        <w:rPr>
          <w:rFonts w:cstheme="minorHAnsi"/>
          <w:b/>
          <w:sz w:val="44"/>
          <w:szCs w:val="44"/>
          <w:u w:val="single"/>
          <w:lang w:val="en-US"/>
        </w:rPr>
      </w:pPr>
      <w:r w:rsidRPr="00D92A8B">
        <w:rPr>
          <w:rFonts w:cstheme="minorHAnsi"/>
          <w:b/>
          <w:sz w:val="44"/>
          <w:szCs w:val="44"/>
          <w:u w:val="single"/>
          <w:lang w:val="en-US"/>
        </w:rPr>
        <w:lastRenderedPageBreak/>
        <w:t>Claims Payments processed in Lineage</w:t>
      </w:r>
    </w:p>
    <w:p w14:paraId="6C2BAD65" w14:textId="77777777" w:rsidR="003D77FC" w:rsidRPr="00D92A8B" w:rsidRDefault="003D77FC">
      <w:pPr>
        <w:rPr>
          <w:rFonts w:cstheme="minorHAnsi"/>
          <w:lang w:val="en-US"/>
        </w:rPr>
      </w:pPr>
      <w:r w:rsidRPr="00D92A8B">
        <w:rPr>
          <w:rFonts w:cstheme="minorHAnsi"/>
          <w:lang w:val="en-US"/>
        </w:rPr>
        <w:t>How payments are handled:</w:t>
      </w:r>
    </w:p>
    <w:p w14:paraId="62A7F706" w14:textId="77777777" w:rsidR="003D77FC" w:rsidRPr="00D92A8B" w:rsidRDefault="003D77FC" w:rsidP="003D77FC">
      <w:pPr>
        <w:pStyle w:val="ListParagraph"/>
        <w:numPr>
          <w:ilvl w:val="0"/>
          <w:numId w:val="2"/>
        </w:numPr>
        <w:rPr>
          <w:rFonts w:cstheme="minorHAnsi"/>
          <w:lang w:val="en-US"/>
        </w:rPr>
      </w:pPr>
      <w:r w:rsidRPr="00D92A8B">
        <w:rPr>
          <w:rFonts w:cstheme="minorHAnsi"/>
          <w:lang w:val="en-US"/>
        </w:rPr>
        <w:t>Regular Claims payments</w:t>
      </w:r>
    </w:p>
    <w:p w14:paraId="60BC7A6B" w14:textId="77777777" w:rsidR="003D77FC" w:rsidRPr="00D92A8B" w:rsidRDefault="003D77FC" w:rsidP="003D77FC">
      <w:pPr>
        <w:pStyle w:val="ListParagraph"/>
        <w:numPr>
          <w:ilvl w:val="1"/>
          <w:numId w:val="2"/>
        </w:numPr>
        <w:rPr>
          <w:rFonts w:cstheme="minorHAnsi"/>
          <w:lang w:val="en-US"/>
        </w:rPr>
      </w:pPr>
      <w:r w:rsidRPr="00D92A8B">
        <w:rPr>
          <w:rFonts w:cstheme="minorHAnsi"/>
          <w:lang w:val="en-US"/>
        </w:rPr>
        <w:t>These payments are processed either by a Coverholder or a TPA and settled within the set Terms of Trade indicated on the Binding Authority Coverholder Terms.</w:t>
      </w:r>
    </w:p>
    <w:p w14:paraId="39B14186" w14:textId="77777777" w:rsidR="00917AB2" w:rsidRPr="00D92A8B" w:rsidRDefault="00917AB2" w:rsidP="003D77FC">
      <w:pPr>
        <w:pStyle w:val="ListParagraph"/>
        <w:numPr>
          <w:ilvl w:val="1"/>
          <w:numId w:val="2"/>
        </w:numPr>
        <w:rPr>
          <w:rFonts w:cstheme="minorHAnsi"/>
          <w:lang w:val="en-US"/>
        </w:rPr>
      </w:pPr>
      <w:r w:rsidRPr="00D92A8B">
        <w:rPr>
          <w:rFonts w:cstheme="minorHAnsi"/>
          <w:lang w:val="en-US"/>
        </w:rPr>
        <w:t>Payments are settled on the month end Invoice of the respective Organisations</w:t>
      </w:r>
    </w:p>
    <w:p w14:paraId="602B85AC" w14:textId="77777777" w:rsidR="003D77FC" w:rsidRPr="00D92A8B" w:rsidRDefault="003D77FC" w:rsidP="003D77FC">
      <w:pPr>
        <w:pStyle w:val="ListParagraph"/>
        <w:ind w:left="1440"/>
        <w:rPr>
          <w:rFonts w:cstheme="minorHAnsi"/>
          <w:lang w:val="en-US"/>
        </w:rPr>
      </w:pPr>
    </w:p>
    <w:p w14:paraId="00B40914" w14:textId="77777777" w:rsidR="003D77FC" w:rsidRPr="00D92A8B" w:rsidRDefault="003D77FC" w:rsidP="003D77FC">
      <w:pPr>
        <w:pStyle w:val="ListParagraph"/>
        <w:numPr>
          <w:ilvl w:val="0"/>
          <w:numId w:val="2"/>
        </w:numPr>
        <w:rPr>
          <w:rFonts w:cstheme="minorHAnsi"/>
          <w:lang w:val="en-US"/>
        </w:rPr>
      </w:pPr>
      <w:r w:rsidRPr="00D92A8B">
        <w:rPr>
          <w:rFonts w:cstheme="minorHAnsi"/>
          <w:lang w:val="en-US"/>
        </w:rPr>
        <w:t>Above Authority payments</w:t>
      </w:r>
    </w:p>
    <w:p w14:paraId="15CD05D5" w14:textId="77777777" w:rsidR="00917AB2" w:rsidRPr="00D92A8B" w:rsidRDefault="00917AB2" w:rsidP="00917AB2">
      <w:pPr>
        <w:pStyle w:val="ListParagraph"/>
        <w:numPr>
          <w:ilvl w:val="1"/>
          <w:numId w:val="2"/>
        </w:numPr>
        <w:rPr>
          <w:rFonts w:cstheme="minorHAnsi"/>
          <w:lang w:val="en-US"/>
        </w:rPr>
      </w:pPr>
      <w:r w:rsidRPr="00D92A8B">
        <w:rPr>
          <w:rFonts w:cstheme="minorHAnsi"/>
          <w:lang w:val="en-US"/>
        </w:rPr>
        <w:t>These payments are processed either by a Coverholder or a TPA and settled within the set Terms of Trade indicated on the Binding Authority Coverholder Terms.</w:t>
      </w:r>
    </w:p>
    <w:p w14:paraId="75656D61" w14:textId="77777777" w:rsidR="00917AB2" w:rsidRPr="00D92A8B" w:rsidRDefault="00917AB2" w:rsidP="00917AB2">
      <w:pPr>
        <w:pStyle w:val="ListParagraph"/>
        <w:numPr>
          <w:ilvl w:val="1"/>
          <w:numId w:val="2"/>
        </w:numPr>
        <w:rPr>
          <w:rFonts w:cstheme="minorHAnsi"/>
          <w:lang w:val="en-US"/>
        </w:rPr>
      </w:pPr>
      <w:r w:rsidRPr="00D92A8B">
        <w:rPr>
          <w:rFonts w:cstheme="minorHAnsi"/>
          <w:lang w:val="en-US"/>
        </w:rPr>
        <w:t xml:space="preserve">These payments </w:t>
      </w:r>
      <w:proofErr w:type="gramStart"/>
      <w:r w:rsidRPr="00D92A8B">
        <w:rPr>
          <w:rFonts w:cstheme="minorHAnsi"/>
          <w:lang w:val="en-US"/>
        </w:rPr>
        <w:t>have to</w:t>
      </w:r>
      <w:proofErr w:type="gramEnd"/>
      <w:r w:rsidRPr="00D92A8B">
        <w:rPr>
          <w:rFonts w:cstheme="minorHAnsi"/>
          <w:lang w:val="en-US"/>
        </w:rPr>
        <w:t xml:space="preserve"> be approved by the Lloyd’s Broker on behalf of the Underwriter(s) or in certain cases for certain Service Companies, the payments are approved by the Underwriter</w:t>
      </w:r>
    </w:p>
    <w:p w14:paraId="4F222600" w14:textId="77777777" w:rsidR="00917AB2" w:rsidRPr="00D92A8B" w:rsidRDefault="00917AB2" w:rsidP="00917AB2">
      <w:pPr>
        <w:pStyle w:val="ListParagraph"/>
        <w:ind w:left="1440"/>
        <w:rPr>
          <w:rFonts w:cstheme="minorHAnsi"/>
          <w:lang w:val="en-US"/>
        </w:rPr>
      </w:pPr>
    </w:p>
    <w:p w14:paraId="6C18A4B1" w14:textId="77777777" w:rsidR="003D77FC" w:rsidRPr="00D92A8B" w:rsidRDefault="003D77FC" w:rsidP="003D77FC">
      <w:pPr>
        <w:pStyle w:val="ListParagraph"/>
        <w:numPr>
          <w:ilvl w:val="0"/>
          <w:numId w:val="2"/>
        </w:numPr>
        <w:rPr>
          <w:rFonts w:cstheme="minorHAnsi"/>
          <w:lang w:val="en-US"/>
        </w:rPr>
      </w:pPr>
      <w:r w:rsidRPr="00D92A8B">
        <w:rPr>
          <w:rFonts w:cstheme="minorHAnsi"/>
          <w:lang w:val="en-US"/>
        </w:rPr>
        <w:t xml:space="preserve">Scheme Canada </w:t>
      </w:r>
      <w:r w:rsidR="00917AB2" w:rsidRPr="00D92A8B">
        <w:rPr>
          <w:rFonts w:cstheme="minorHAnsi"/>
          <w:lang w:val="en-US"/>
        </w:rPr>
        <w:t>Payments</w:t>
      </w:r>
    </w:p>
    <w:p w14:paraId="0872FA36" w14:textId="77777777" w:rsidR="00917AB2" w:rsidRPr="00D92A8B" w:rsidRDefault="00917AB2" w:rsidP="00917AB2">
      <w:pPr>
        <w:pStyle w:val="ListParagraph"/>
        <w:numPr>
          <w:ilvl w:val="1"/>
          <w:numId w:val="2"/>
        </w:numPr>
        <w:rPr>
          <w:rFonts w:cstheme="minorHAnsi"/>
          <w:lang w:val="en-US"/>
        </w:rPr>
      </w:pPr>
      <w:r w:rsidRPr="00D92A8B">
        <w:rPr>
          <w:rFonts w:cstheme="minorHAnsi"/>
          <w:lang w:val="en-US"/>
        </w:rPr>
        <w:t>There are 2 Types of Scheme Advances</w:t>
      </w:r>
    </w:p>
    <w:p w14:paraId="3DF5B046" w14:textId="77777777" w:rsidR="00917AB2" w:rsidRPr="00D92A8B" w:rsidRDefault="00917AB2" w:rsidP="00917AB2">
      <w:pPr>
        <w:pStyle w:val="ListParagraph"/>
        <w:numPr>
          <w:ilvl w:val="2"/>
          <w:numId w:val="2"/>
        </w:numPr>
        <w:rPr>
          <w:rFonts w:cstheme="minorHAnsi"/>
          <w:lang w:val="en-US"/>
        </w:rPr>
      </w:pPr>
      <w:r w:rsidRPr="00D92A8B">
        <w:rPr>
          <w:rFonts w:cstheme="minorHAnsi"/>
          <w:lang w:val="en-US"/>
        </w:rPr>
        <w:t xml:space="preserve">Single Large Loss – these payments are requested on a particular claim and settled within 4-6 days from the time they are approved by Xchanging or in certain cases the Underwriter.  </w:t>
      </w:r>
    </w:p>
    <w:p w14:paraId="15785249" w14:textId="174F57E0" w:rsidR="00917AB2" w:rsidRPr="00D92A8B" w:rsidRDefault="003103F6" w:rsidP="00917AB2">
      <w:pPr>
        <w:pStyle w:val="ListParagraph"/>
        <w:numPr>
          <w:ilvl w:val="2"/>
          <w:numId w:val="2"/>
        </w:numPr>
        <w:rPr>
          <w:rFonts w:cstheme="minorHAnsi"/>
          <w:lang w:val="en-US"/>
        </w:rPr>
      </w:pPr>
      <w:r w:rsidRPr="00D92A8B">
        <w:rPr>
          <w:rFonts w:cstheme="minorHAnsi"/>
          <w:lang w:val="en-US"/>
        </w:rPr>
        <w:t>Non-Deductible</w:t>
      </w:r>
      <w:r w:rsidR="00917AB2" w:rsidRPr="00D92A8B">
        <w:rPr>
          <w:rFonts w:cstheme="minorHAnsi"/>
          <w:lang w:val="en-US"/>
        </w:rPr>
        <w:t xml:space="preserve"> Floats (Loss funds) – these payments are requested against a Coverholder Contract and settled within 4-6 days from the time they are approved by Xchanging or in certain cases the Underwriter.  </w:t>
      </w:r>
    </w:p>
    <w:p w14:paraId="43F980BA" w14:textId="77777777" w:rsidR="00917AB2" w:rsidRPr="00D92A8B" w:rsidRDefault="00917AB2" w:rsidP="00917AB2">
      <w:pPr>
        <w:pStyle w:val="ListParagraph"/>
        <w:numPr>
          <w:ilvl w:val="2"/>
          <w:numId w:val="2"/>
        </w:numPr>
        <w:rPr>
          <w:rFonts w:cstheme="minorHAnsi"/>
          <w:lang w:val="en-US"/>
        </w:rPr>
      </w:pPr>
      <w:r w:rsidRPr="00D92A8B">
        <w:rPr>
          <w:rFonts w:cstheme="minorHAnsi"/>
          <w:lang w:val="en-US"/>
        </w:rPr>
        <w:t>Advances approved as Loss funds start with 999 and Single Large Loss start with 997</w:t>
      </w:r>
    </w:p>
    <w:p w14:paraId="55CC40FA" w14:textId="77777777" w:rsidR="00917AB2" w:rsidRPr="00D92A8B" w:rsidRDefault="00917AB2" w:rsidP="00917AB2">
      <w:pPr>
        <w:pStyle w:val="ListParagraph"/>
        <w:numPr>
          <w:ilvl w:val="2"/>
          <w:numId w:val="2"/>
        </w:numPr>
        <w:rPr>
          <w:rFonts w:cstheme="minorHAnsi"/>
          <w:lang w:val="en-US"/>
        </w:rPr>
      </w:pPr>
      <w:r w:rsidRPr="00D92A8B">
        <w:rPr>
          <w:rFonts w:cstheme="minorHAnsi"/>
          <w:lang w:val="en-US"/>
        </w:rPr>
        <w:t>All Scheme Advances have a reclaim date.  If not reported against the claim or replenished in Loss funds, they are reclaimed and returned to the respective Underwriters.</w:t>
      </w:r>
    </w:p>
    <w:p w14:paraId="17E595C2" w14:textId="77777777" w:rsidR="00917AB2" w:rsidRPr="00D92A8B" w:rsidRDefault="00917AB2" w:rsidP="00917AB2">
      <w:pPr>
        <w:pStyle w:val="ListParagraph"/>
        <w:numPr>
          <w:ilvl w:val="2"/>
          <w:numId w:val="2"/>
        </w:numPr>
        <w:rPr>
          <w:rFonts w:cstheme="minorHAnsi"/>
          <w:lang w:val="en-US"/>
        </w:rPr>
      </w:pPr>
      <w:r w:rsidRPr="00D92A8B">
        <w:rPr>
          <w:rFonts w:cstheme="minorHAnsi"/>
          <w:lang w:val="en-US"/>
        </w:rPr>
        <w:t>These payments are requested when the Coverholder/TPA does not have the funds based on their claim limit agreement, in some cases payment needs to be settled to Lawyers, etc.</w:t>
      </w:r>
    </w:p>
    <w:p w14:paraId="5DAEEC45" w14:textId="77777777" w:rsidR="00917AB2" w:rsidRPr="00D92A8B" w:rsidRDefault="00917AB2" w:rsidP="00917AB2">
      <w:pPr>
        <w:pStyle w:val="ListParagraph"/>
        <w:ind w:left="2160"/>
        <w:rPr>
          <w:rFonts w:cstheme="minorHAnsi"/>
          <w:lang w:val="en-US"/>
        </w:rPr>
      </w:pPr>
    </w:p>
    <w:p w14:paraId="5FF6D69F" w14:textId="77777777" w:rsidR="00D92A8B" w:rsidRDefault="00D92A8B">
      <w:pPr>
        <w:rPr>
          <w:rFonts w:cstheme="minorHAnsi"/>
          <w:b/>
          <w:sz w:val="44"/>
          <w:szCs w:val="44"/>
          <w:u w:val="single"/>
          <w:lang w:val="en-US"/>
        </w:rPr>
      </w:pPr>
      <w:r>
        <w:rPr>
          <w:rFonts w:cstheme="minorHAnsi"/>
          <w:b/>
          <w:sz w:val="44"/>
          <w:szCs w:val="44"/>
          <w:u w:val="single"/>
          <w:lang w:val="en-US"/>
        </w:rPr>
        <w:br w:type="page"/>
      </w:r>
    </w:p>
    <w:p w14:paraId="21E24C98" w14:textId="40F707E6" w:rsidR="00415582" w:rsidRPr="00D92A8B" w:rsidRDefault="00415582" w:rsidP="00415582">
      <w:pPr>
        <w:rPr>
          <w:rFonts w:cstheme="minorHAnsi"/>
          <w:b/>
          <w:sz w:val="44"/>
          <w:szCs w:val="44"/>
          <w:u w:val="single"/>
          <w:lang w:val="en-US"/>
        </w:rPr>
      </w:pPr>
      <w:r w:rsidRPr="00D92A8B">
        <w:rPr>
          <w:rFonts w:cstheme="minorHAnsi"/>
          <w:b/>
          <w:sz w:val="44"/>
          <w:szCs w:val="44"/>
          <w:u w:val="single"/>
          <w:lang w:val="en-US"/>
        </w:rPr>
        <w:lastRenderedPageBreak/>
        <w:t>Roles &amp; Responsibilities</w:t>
      </w:r>
    </w:p>
    <w:p w14:paraId="1D3DED56" w14:textId="2BD152B6" w:rsidR="00415582" w:rsidRPr="00D92A8B" w:rsidRDefault="00415582" w:rsidP="00415582">
      <w:pPr>
        <w:rPr>
          <w:rFonts w:cstheme="minorHAnsi"/>
          <w:b/>
          <w:sz w:val="32"/>
          <w:szCs w:val="32"/>
          <w:u w:val="single"/>
          <w:lang w:val="en-US"/>
        </w:rPr>
      </w:pPr>
      <w:r w:rsidRPr="00D92A8B">
        <w:rPr>
          <w:rFonts w:cstheme="minorHAnsi"/>
          <w:b/>
          <w:sz w:val="32"/>
          <w:szCs w:val="32"/>
          <w:u w:val="single"/>
          <w:lang w:val="en-US"/>
        </w:rPr>
        <w:t>TELUS</w:t>
      </w:r>
    </w:p>
    <w:p w14:paraId="5AAB38C9" w14:textId="4E1A3EE0" w:rsidR="00415582" w:rsidRPr="00D92A8B" w:rsidRDefault="00415582" w:rsidP="00415582">
      <w:pPr>
        <w:rPr>
          <w:rFonts w:cstheme="minorHAnsi"/>
          <w:color w:val="000000" w:themeColor="text1"/>
          <w:shd w:val="clear" w:color="auto" w:fill="FFFFFF"/>
        </w:rPr>
      </w:pPr>
      <w:r w:rsidRPr="00D92A8B">
        <w:rPr>
          <w:rFonts w:cstheme="minorHAnsi"/>
          <w:color w:val="000000" w:themeColor="text1"/>
          <w:shd w:val="clear" w:color="auto" w:fill="FFFFFF"/>
        </w:rPr>
        <w:t>TELUS is a service provider to Lloyd’s Canada</w:t>
      </w:r>
      <w:r w:rsidR="00411323" w:rsidRPr="00D92A8B">
        <w:rPr>
          <w:rFonts w:cstheme="minorHAnsi"/>
          <w:color w:val="000000" w:themeColor="text1"/>
          <w:shd w:val="clear" w:color="auto" w:fill="FFFFFF"/>
        </w:rPr>
        <w:t>,</w:t>
      </w:r>
      <w:r w:rsidRPr="00D92A8B">
        <w:rPr>
          <w:rFonts w:cstheme="minorHAnsi"/>
          <w:color w:val="000000" w:themeColor="text1"/>
          <w:shd w:val="clear" w:color="auto" w:fill="FFFFFF"/>
        </w:rPr>
        <w:t xml:space="preserve"> Inc</w:t>
      </w:r>
    </w:p>
    <w:p w14:paraId="75AE6D41" w14:textId="77777777" w:rsidR="00415582" w:rsidRPr="00D92A8B" w:rsidRDefault="00415582" w:rsidP="00415582">
      <w:pPr>
        <w:pStyle w:val="ListParagraph"/>
        <w:numPr>
          <w:ilvl w:val="0"/>
          <w:numId w:val="1"/>
        </w:numPr>
        <w:rPr>
          <w:rFonts w:cstheme="minorHAnsi"/>
          <w:color w:val="000000" w:themeColor="text1"/>
          <w:shd w:val="clear" w:color="auto" w:fill="FFFFFF"/>
        </w:rPr>
      </w:pPr>
      <w:r w:rsidRPr="00D92A8B">
        <w:rPr>
          <w:rFonts w:cstheme="minorHAnsi"/>
          <w:color w:val="000000" w:themeColor="text1"/>
          <w:shd w:val="clear" w:color="auto" w:fill="FFFFFF"/>
        </w:rPr>
        <w:t xml:space="preserve">TELUS is responsible for maintaining the Lineage application </w:t>
      </w:r>
    </w:p>
    <w:p w14:paraId="3FA24894" w14:textId="77777777" w:rsidR="00415582" w:rsidRPr="00D92A8B" w:rsidRDefault="00415582" w:rsidP="00415582">
      <w:pPr>
        <w:pStyle w:val="ListParagraph"/>
        <w:numPr>
          <w:ilvl w:val="0"/>
          <w:numId w:val="1"/>
        </w:numPr>
        <w:rPr>
          <w:rFonts w:cstheme="minorHAnsi"/>
          <w:color w:val="000000" w:themeColor="text1"/>
          <w:lang w:val="en-US"/>
        </w:rPr>
      </w:pPr>
      <w:r w:rsidRPr="00D92A8B">
        <w:rPr>
          <w:rFonts w:cstheme="minorHAnsi"/>
          <w:color w:val="000000" w:themeColor="text1"/>
          <w:shd w:val="clear" w:color="auto" w:fill="FFFFFF"/>
        </w:rPr>
        <w:t>TELUS is responsible for generating the Reports and Settlement Invoices to Lloyd’s Stakeholders</w:t>
      </w:r>
    </w:p>
    <w:p w14:paraId="4FC73A3E" w14:textId="77777777" w:rsidR="00415582" w:rsidRPr="00D92A8B" w:rsidRDefault="00415582" w:rsidP="00415582">
      <w:pPr>
        <w:pStyle w:val="ListParagraph"/>
        <w:numPr>
          <w:ilvl w:val="0"/>
          <w:numId w:val="1"/>
        </w:numPr>
        <w:rPr>
          <w:rFonts w:cstheme="minorHAnsi"/>
          <w:color w:val="000000" w:themeColor="text1"/>
          <w:lang w:val="en-US"/>
        </w:rPr>
      </w:pPr>
      <w:r w:rsidRPr="00D92A8B">
        <w:rPr>
          <w:rFonts w:cstheme="minorHAnsi"/>
          <w:color w:val="000000" w:themeColor="text1"/>
          <w:shd w:val="clear" w:color="auto" w:fill="FFFFFF"/>
        </w:rPr>
        <w:t>TELUS is responsible for updating any changes on the Lineage application upon sign off from Lloyd’s Canada</w:t>
      </w:r>
    </w:p>
    <w:p w14:paraId="29124C9E" w14:textId="5FEAE41A" w:rsidR="00415582" w:rsidRPr="00D92A8B" w:rsidRDefault="00415582" w:rsidP="00415582">
      <w:pPr>
        <w:pStyle w:val="ListParagraph"/>
        <w:numPr>
          <w:ilvl w:val="0"/>
          <w:numId w:val="1"/>
        </w:numPr>
        <w:rPr>
          <w:rFonts w:cstheme="minorHAnsi"/>
          <w:color w:val="000000" w:themeColor="text1"/>
          <w:lang w:val="en-US"/>
        </w:rPr>
      </w:pPr>
      <w:r w:rsidRPr="00D92A8B">
        <w:rPr>
          <w:rFonts w:cstheme="minorHAnsi"/>
          <w:color w:val="000000" w:themeColor="text1"/>
          <w:shd w:val="clear" w:color="auto" w:fill="FFFFFF"/>
        </w:rPr>
        <w:t>TELUS is responsible for providing Lineage training to Lloyd’s Stakeholders</w:t>
      </w:r>
    </w:p>
    <w:p w14:paraId="513D9349" w14:textId="536EBA60" w:rsidR="00411323" w:rsidRPr="00D92A8B" w:rsidRDefault="00411323" w:rsidP="00411323">
      <w:pPr>
        <w:rPr>
          <w:rFonts w:cstheme="minorHAnsi"/>
          <w:color w:val="000000" w:themeColor="text1"/>
          <w:lang w:val="en-US"/>
        </w:rPr>
      </w:pPr>
    </w:p>
    <w:p w14:paraId="6131348D" w14:textId="6EF85089" w:rsidR="007672A8" w:rsidRPr="001B42AE" w:rsidRDefault="00BC1F62" w:rsidP="00411323">
      <w:pPr>
        <w:rPr>
          <w:rFonts w:cstheme="minorHAnsi"/>
          <w:b/>
          <w:bCs/>
          <w:color w:val="000000" w:themeColor="text1"/>
          <w:sz w:val="32"/>
          <w:szCs w:val="32"/>
          <w:u w:val="single"/>
          <w:lang w:val="en-US"/>
        </w:rPr>
      </w:pPr>
      <w:r w:rsidRPr="001B42AE">
        <w:rPr>
          <w:rFonts w:cstheme="minorHAnsi"/>
          <w:b/>
          <w:bCs/>
          <w:color w:val="000000" w:themeColor="text1"/>
          <w:sz w:val="32"/>
          <w:szCs w:val="32"/>
          <w:u w:val="single"/>
          <w:lang w:val="en-US"/>
        </w:rPr>
        <w:t>Contact Details…</w:t>
      </w:r>
    </w:p>
    <w:p w14:paraId="59F0C978" w14:textId="474946E2" w:rsidR="00411323" w:rsidRPr="00D92A8B" w:rsidRDefault="00411323" w:rsidP="00411323">
      <w:pPr>
        <w:rPr>
          <w:rFonts w:cstheme="minorHAnsi"/>
          <w:color w:val="000000" w:themeColor="text1"/>
          <w:lang w:val="en-US"/>
        </w:rPr>
      </w:pPr>
      <w:r w:rsidRPr="00D92A8B">
        <w:rPr>
          <w:rFonts w:cstheme="minorHAnsi"/>
          <w:color w:val="000000" w:themeColor="text1"/>
          <w:lang w:val="en-US"/>
        </w:rPr>
        <w:t>Contact us for further clarification/ guidance or to arrange a training session on the Lloyd’s Canada Portal (Lineage)</w:t>
      </w:r>
      <w:r w:rsidR="00113829" w:rsidRPr="00D92A8B">
        <w:rPr>
          <w:rFonts w:cstheme="minorHAnsi"/>
          <w:color w:val="000000" w:themeColor="text1"/>
          <w:lang w:val="en-US"/>
        </w:rPr>
        <w:t>…</w:t>
      </w:r>
    </w:p>
    <w:p w14:paraId="78250834" w14:textId="7EC29CBE" w:rsidR="00113829" w:rsidRPr="00D92A8B" w:rsidRDefault="00113829" w:rsidP="00D92A8B">
      <w:pPr>
        <w:pStyle w:val="ListBullet"/>
        <w:numPr>
          <w:ilvl w:val="0"/>
          <w:numId w:val="0"/>
        </w:numPr>
        <w:ind w:left="360"/>
        <w:rPr>
          <w:rFonts w:cstheme="minorHAnsi"/>
          <w:lang w:val="en-US"/>
        </w:rPr>
      </w:pPr>
      <w:r w:rsidRPr="00D92A8B">
        <w:rPr>
          <w:rFonts w:cstheme="minorHAnsi"/>
          <w:b/>
          <w:bCs/>
          <w:lang w:val="en-US"/>
        </w:rPr>
        <w:t>Canada</w:t>
      </w:r>
      <w:r w:rsidRPr="00D92A8B">
        <w:rPr>
          <w:rFonts w:cstheme="minorHAnsi"/>
          <w:b/>
          <w:bCs/>
          <w:lang w:val="en-US"/>
        </w:rPr>
        <w:br/>
      </w:r>
      <w:r w:rsidRPr="00D92A8B">
        <w:rPr>
          <w:rFonts w:cstheme="minorHAnsi"/>
          <w:lang w:val="en-US"/>
        </w:rPr>
        <w:t>Lloyd’s Canada Service Desk</w:t>
      </w:r>
      <w:r w:rsidRPr="00D92A8B">
        <w:rPr>
          <w:rFonts w:cstheme="minorHAnsi"/>
          <w:lang w:val="en-US"/>
        </w:rPr>
        <w:br/>
        <w:t>Telephone: +1 514 864 5444 (from UK)</w:t>
      </w:r>
      <w:r w:rsidRPr="00D92A8B">
        <w:rPr>
          <w:rFonts w:cstheme="minorHAnsi"/>
          <w:lang w:val="en-US"/>
        </w:rPr>
        <w:br/>
        <w:t xml:space="preserve">1 877 455 6937 (from North America) or </w:t>
      </w:r>
      <w:r w:rsidR="00913C42" w:rsidRPr="00D92A8B">
        <w:rPr>
          <w:rFonts w:cstheme="minorHAnsi"/>
          <w:lang w:val="en-US"/>
        </w:rPr>
        <w:t>1 877 (4LLOYDS)</w:t>
      </w:r>
      <w:r w:rsidR="00913C42" w:rsidRPr="00D92A8B">
        <w:rPr>
          <w:rFonts w:cstheme="minorHAnsi"/>
          <w:lang w:val="en-US"/>
        </w:rPr>
        <w:br/>
        <w:t xml:space="preserve">Email: </w:t>
      </w:r>
      <w:hyperlink r:id="rId16" w:history="1">
        <w:r w:rsidR="00913C42" w:rsidRPr="00D92A8B">
          <w:rPr>
            <w:rStyle w:val="Hyperlink"/>
            <w:rFonts w:cstheme="minorHAnsi"/>
            <w:lang w:val="en-US"/>
          </w:rPr>
          <w:t>info@lloyds.ca</w:t>
        </w:r>
      </w:hyperlink>
      <w:r w:rsidR="00913C42" w:rsidRPr="00D92A8B">
        <w:rPr>
          <w:rFonts w:cstheme="minorHAnsi"/>
          <w:lang w:val="en-US"/>
        </w:rPr>
        <w:br/>
      </w:r>
    </w:p>
    <w:p w14:paraId="0B041F76" w14:textId="55D437A6" w:rsidR="00913C42" w:rsidRPr="00D92A8B" w:rsidRDefault="00913C42" w:rsidP="00913C42">
      <w:pPr>
        <w:pStyle w:val="ListBullet"/>
        <w:numPr>
          <w:ilvl w:val="0"/>
          <w:numId w:val="0"/>
        </w:numPr>
        <w:ind w:left="360"/>
        <w:rPr>
          <w:rFonts w:cstheme="minorHAnsi"/>
          <w:lang w:val="en-US"/>
        </w:rPr>
      </w:pPr>
      <w:r w:rsidRPr="001B42AE">
        <w:rPr>
          <w:rFonts w:cstheme="minorHAnsi"/>
          <w:lang w:val="en-US"/>
        </w:rPr>
        <w:t>8.</w:t>
      </w:r>
      <w:r w:rsidRPr="00D92A8B">
        <w:rPr>
          <w:rFonts w:cstheme="minorHAnsi"/>
          <w:lang w:val="en-US"/>
        </w:rPr>
        <w:t>30am – 17.00pm (Eastern Standard Time)</w:t>
      </w:r>
    </w:p>
    <w:p w14:paraId="2029D534" w14:textId="77777777" w:rsidR="00415582" w:rsidRPr="00D92A8B" w:rsidRDefault="00415582" w:rsidP="00415582">
      <w:pPr>
        <w:rPr>
          <w:rFonts w:cstheme="minorHAnsi"/>
          <w:color w:val="000000" w:themeColor="text1"/>
          <w:lang w:val="en-US"/>
        </w:rPr>
      </w:pPr>
    </w:p>
    <w:p w14:paraId="7FE4F431" w14:textId="0C9FCED8" w:rsidR="00415582" w:rsidRPr="001B42AE" w:rsidRDefault="00BC1F62" w:rsidP="00415582">
      <w:pPr>
        <w:rPr>
          <w:rFonts w:cstheme="minorHAnsi"/>
          <w:b/>
          <w:u w:val="single"/>
          <w:lang w:val="en-US"/>
        </w:rPr>
      </w:pPr>
      <w:r w:rsidRPr="001B42AE">
        <w:rPr>
          <w:rFonts w:cstheme="minorHAnsi"/>
          <w:b/>
          <w:u w:val="single"/>
          <w:lang w:val="en-US"/>
        </w:rPr>
        <w:t>For s</w:t>
      </w:r>
      <w:r w:rsidR="00415582" w:rsidRPr="001B42AE">
        <w:rPr>
          <w:rFonts w:cstheme="minorHAnsi"/>
          <w:b/>
          <w:u w:val="single"/>
          <w:lang w:val="en-US"/>
        </w:rPr>
        <w:t>uggestions/</w:t>
      </w:r>
      <w:r w:rsidR="001B42AE" w:rsidRPr="001B42AE">
        <w:rPr>
          <w:rFonts w:cstheme="minorHAnsi"/>
          <w:b/>
          <w:u w:val="single"/>
          <w:lang w:val="en-US"/>
        </w:rPr>
        <w:t>f</w:t>
      </w:r>
      <w:r w:rsidR="00415582" w:rsidRPr="001B42AE">
        <w:rPr>
          <w:rFonts w:cstheme="minorHAnsi"/>
          <w:b/>
          <w:u w:val="single"/>
          <w:lang w:val="en-US"/>
        </w:rPr>
        <w:t xml:space="preserve">uture </w:t>
      </w:r>
      <w:r w:rsidR="001B42AE" w:rsidRPr="001B42AE">
        <w:rPr>
          <w:rFonts w:cstheme="minorHAnsi"/>
          <w:b/>
          <w:u w:val="single"/>
          <w:lang w:val="en-US"/>
        </w:rPr>
        <w:t>c</w:t>
      </w:r>
      <w:r w:rsidR="00415582" w:rsidRPr="001B42AE">
        <w:rPr>
          <w:rFonts w:cstheme="minorHAnsi"/>
          <w:b/>
          <w:u w:val="single"/>
          <w:lang w:val="en-US"/>
        </w:rPr>
        <w:t>hanges on Lineage</w:t>
      </w:r>
    </w:p>
    <w:p w14:paraId="0D7906DF" w14:textId="77777777" w:rsidR="00415582" w:rsidRPr="00D92A8B" w:rsidRDefault="00415582" w:rsidP="00415582">
      <w:pPr>
        <w:rPr>
          <w:rFonts w:cstheme="minorHAnsi"/>
          <w:lang w:val="en-US"/>
        </w:rPr>
      </w:pPr>
      <w:r w:rsidRPr="00D92A8B">
        <w:rPr>
          <w:rFonts w:cstheme="minorHAnsi"/>
          <w:lang w:val="en-US"/>
        </w:rPr>
        <w:t>Email can be sent to:</w:t>
      </w:r>
    </w:p>
    <w:p w14:paraId="77095148" w14:textId="77777777" w:rsidR="00415582" w:rsidRPr="00D92A8B" w:rsidRDefault="00415582" w:rsidP="00415582">
      <w:pPr>
        <w:shd w:val="clear" w:color="auto" w:fill="FFFFFF"/>
        <w:spacing w:after="0" w:line="240" w:lineRule="auto"/>
        <w:rPr>
          <w:rFonts w:eastAsia="Times New Roman" w:cstheme="minorHAnsi"/>
          <w:color w:val="222222"/>
          <w:sz w:val="24"/>
          <w:szCs w:val="24"/>
          <w:lang w:val="en-US"/>
        </w:rPr>
      </w:pPr>
      <w:r w:rsidRPr="00D92A8B">
        <w:rPr>
          <w:rFonts w:eastAsia="Times New Roman" w:cstheme="minorHAnsi"/>
          <w:b/>
          <w:bCs/>
          <w:color w:val="222222"/>
          <w:sz w:val="24"/>
          <w:szCs w:val="24"/>
        </w:rPr>
        <w:t>Patrick Hayes</w:t>
      </w:r>
    </w:p>
    <w:p w14:paraId="3B8020CE" w14:textId="77777777" w:rsidR="00415582" w:rsidRPr="00D92A8B" w:rsidRDefault="00415582" w:rsidP="00415582">
      <w:pPr>
        <w:shd w:val="clear" w:color="auto" w:fill="FFFFFF"/>
        <w:spacing w:after="0" w:line="240" w:lineRule="auto"/>
        <w:rPr>
          <w:rFonts w:eastAsia="Times New Roman" w:cstheme="minorHAnsi"/>
          <w:color w:val="222222"/>
          <w:sz w:val="24"/>
          <w:szCs w:val="24"/>
          <w:lang w:val="en-US"/>
        </w:rPr>
      </w:pPr>
      <w:r w:rsidRPr="00D92A8B">
        <w:rPr>
          <w:rFonts w:eastAsia="Times New Roman" w:cstheme="minorHAnsi"/>
          <w:color w:val="222222"/>
          <w:sz w:val="20"/>
          <w:szCs w:val="20"/>
        </w:rPr>
        <w:t>Head of Operations, Americas</w:t>
      </w:r>
    </w:p>
    <w:p w14:paraId="3D775D2C" w14:textId="77777777" w:rsidR="00415582" w:rsidRPr="00D92A8B" w:rsidRDefault="00415582" w:rsidP="00415582">
      <w:pPr>
        <w:shd w:val="clear" w:color="auto" w:fill="FFFFFF"/>
        <w:spacing w:after="0" w:line="240" w:lineRule="auto"/>
        <w:rPr>
          <w:rFonts w:eastAsia="Times New Roman" w:cstheme="minorHAnsi"/>
          <w:color w:val="222222"/>
          <w:sz w:val="24"/>
          <w:szCs w:val="24"/>
          <w:lang w:val="en-US"/>
        </w:rPr>
      </w:pPr>
      <w:r w:rsidRPr="00D92A8B">
        <w:rPr>
          <w:rFonts w:eastAsia="Times New Roman" w:cstheme="minorHAnsi"/>
          <w:color w:val="222222"/>
          <w:sz w:val="20"/>
          <w:szCs w:val="20"/>
        </w:rPr>
        <w:t>Lloyd’s</w:t>
      </w:r>
    </w:p>
    <w:p w14:paraId="273E2EC3" w14:textId="77777777" w:rsidR="00415582" w:rsidRPr="00D92A8B" w:rsidRDefault="00415582" w:rsidP="00415582">
      <w:pPr>
        <w:shd w:val="clear" w:color="auto" w:fill="FFFFFF"/>
        <w:spacing w:after="0" w:line="240" w:lineRule="auto"/>
        <w:rPr>
          <w:rFonts w:eastAsia="Times New Roman" w:cstheme="minorHAnsi"/>
          <w:color w:val="222222"/>
          <w:sz w:val="24"/>
          <w:szCs w:val="24"/>
          <w:lang w:val="en-US"/>
        </w:rPr>
      </w:pPr>
      <w:r w:rsidRPr="00D92A8B">
        <w:rPr>
          <w:rFonts w:eastAsia="Times New Roman" w:cstheme="minorHAnsi"/>
          <w:color w:val="222222"/>
          <w:sz w:val="20"/>
          <w:szCs w:val="20"/>
        </w:rPr>
        <w:t>Telephone: 514 864 5445</w:t>
      </w:r>
    </w:p>
    <w:p w14:paraId="1794B726" w14:textId="77777777" w:rsidR="00415582" w:rsidRPr="00D92A8B" w:rsidRDefault="00415582" w:rsidP="00415582">
      <w:pPr>
        <w:shd w:val="clear" w:color="auto" w:fill="FFFFFF"/>
        <w:spacing w:after="0" w:line="240" w:lineRule="auto"/>
        <w:rPr>
          <w:rFonts w:eastAsia="Times New Roman" w:cstheme="minorHAnsi"/>
          <w:color w:val="222222"/>
          <w:sz w:val="24"/>
          <w:szCs w:val="24"/>
          <w:lang w:val="en-US"/>
        </w:rPr>
      </w:pPr>
      <w:r w:rsidRPr="00D92A8B">
        <w:rPr>
          <w:rFonts w:eastAsia="Times New Roman" w:cstheme="minorHAnsi"/>
          <w:color w:val="222222"/>
          <w:sz w:val="20"/>
          <w:szCs w:val="20"/>
        </w:rPr>
        <w:t>From UK dial: +44 207 327 7143</w:t>
      </w:r>
    </w:p>
    <w:p w14:paraId="3F42EB25" w14:textId="77777777" w:rsidR="00415582" w:rsidRPr="00D92A8B" w:rsidRDefault="00415582" w:rsidP="00415582">
      <w:pPr>
        <w:rPr>
          <w:rFonts w:cstheme="minorHAnsi"/>
          <w:lang w:val="en-US"/>
        </w:rPr>
      </w:pPr>
      <w:r w:rsidRPr="00D92A8B">
        <w:rPr>
          <w:rFonts w:cstheme="minorHAnsi"/>
          <w:lang w:val="en-US"/>
        </w:rPr>
        <w:t xml:space="preserve">Email: </w:t>
      </w:r>
      <w:hyperlink r:id="rId17" w:history="1">
        <w:r w:rsidRPr="00D92A8B">
          <w:rPr>
            <w:rStyle w:val="Hyperlink"/>
            <w:rFonts w:cstheme="minorHAnsi"/>
            <w:lang w:val="en-US"/>
          </w:rPr>
          <w:t>Patrick.Hayes@lloyds.com</w:t>
        </w:r>
      </w:hyperlink>
    </w:p>
    <w:p w14:paraId="2E3D64B1" w14:textId="244521C4" w:rsidR="003D77FC" w:rsidRPr="00D92A8B" w:rsidRDefault="003D77FC">
      <w:pPr>
        <w:rPr>
          <w:rFonts w:cstheme="minorHAnsi"/>
          <w:lang w:val="en-US"/>
        </w:rPr>
      </w:pPr>
    </w:p>
    <w:p w14:paraId="044C9CC4" w14:textId="46D951C9" w:rsidR="001B42AE" w:rsidRDefault="001B42AE">
      <w:pPr>
        <w:rPr>
          <w:rFonts w:cstheme="minorHAnsi"/>
          <w:lang w:val="en-US"/>
        </w:rPr>
      </w:pPr>
      <w:r>
        <w:rPr>
          <w:rFonts w:cstheme="minorHAnsi"/>
          <w:lang w:val="en-US"/>
        </w:rPr>
        <w:br w:type="page"/>
      </w:r>
    </w:p>
    <w:p w14:paraId="1591F73D" w14:textId="77777777" w:rsidR="001B42AE" w:rsidRPr="00D92A8B" w:rsidRDefault="001B42AE" w:rsidP="001B42AE">
      <w:pPr>
        <w:rPr>
          <w:rFonts w:cstheme="minorHAnsi"/>
          <w:b/>
          <w:sz w:val="44"/>
          <w:szCs w:val="44"/>
          <w:u w:val="single"/>
          <w:lang w:val="en-US"/>
        </w:rPr>
      </w:pPr>
      <w:r w:rsidRPr="00D92A8B">
        <w:rPr>
          <w:rFonts w:cstheme="minorHAnsi"/>
          <w:b/>
          <w:sz w:val="44"/>
          <w:szCs w:val="44"/>
          <w:u w:val="single"/>
          <w:lang w:val="en-US"/>
        </w:rPr>
        <w:lastRenderedPageBreak/>
        <w:t>Roles &amp; Responsibilities</w:t>
      </w:r>
    </w:p>
    <w:p w14:paraId="48A0C28A" w14:textId="04A4EC94" w:rsidR="001B42AE" w:rsidRPr="00D92A8B" w:rsidRDefault="001B42AE" w:rsidP="001B42AE">
      <w:pPr>
        <w:rPr>
          <w:rFonts w:cstheme="minorHAnsi"/>
          <w:b/>
          <w:sz w:val="32"/>
          <w:szCs w:val="32"/>
          <w:u w:val="single"/>
          <w:lang w:val="en-US"/>
        </w:rPr>
      </w:pPr>
      <w:r>
        <w:rPr>
          <w:rFonts w:cstheme="minorHAnsi"/>
          <w:b/>
          <w:sz w:val="32"/>
          <w:szCs w:val="32"/>
          <w:u w:val="single"/>
          <w:lang w:val="en-US"/>
        </w:rPr>
        <w:t>Xchanging Claims Services</w:t>
      </w:r>
    </w:p>
    <w:p w14:paraId="0FCC8DCD" w14:textId="77777777" w:rsidR="00AC4F3E" w:rsidRPr="00AC4F3E" w:rsidRDefault="00AC4F3E" w:rsidP="00AC4F3E">
      <w:pPr>
        <w:numPr>
          <w:ilvl w:val="0"/>
          <w:numId w:val="5"/>
        </w:numPr>
        <w:rPr>
          <w:rFonts w:cstheme="minorHAnsi"/>
          <w:lang w:val="en-US"/>
        </w:rPr>
      </w:pPr>
      <w:r w:rsidRPr="00AC4F3E">
        <w:rPr>
          <w:rFonts w:cstheme="minorHAnsi"/>
          <w:lang w:val="en-GB"/>
        </w:rPr>
        <w:t xml:space="preserve">Scheme Canada processing is recognised as an enhanced Technical Processing Service provided by XCS. </w:t>
      </w:r>
    </w:p>
    <w:p w14:paraId="3568AF5D" w14:textId="77777777" w:rsidR="00AC4F3E" w:rsidRPr="00AC4F3E" w:rsidRDefault="00AC4F3E" w:rsidP="00AC4F3E">
      <w:pPr>
        <w:numPr>
          <w:ilvl w:val="0"/>
          <w:numId w:val="5"/>
        </w:numPr>
        <w:rPr>
          <w:rFonts w:cstheme="minorHAnsi"/>
          <w:lang w:val="en-US"/>
        </w:rPr>
      </w:pPr>
      <w:r w:rsidRPr="00AC4F3E">
        <w:rPr>
          <w:rFonts w:cstheme="minorHAnsi"/>
          <w:lang w:val="en-GB"/>
        </w:rPr>
        <w:t xml:space="preserve">XCS is </w:t>
      </w:r>
      <w:r w:rsidRPr="00AC4F3E">
        <w:rPr>
          <w:rFonts w:cstheme="minorHAnsi"/>
          <w:b/>
          <w:bCs/>
          <w:lang w:val="en-GB"/>
        </w:rPr>
        <w:t>not</w:t>
      </w:r>
      <w:r w:rsidRPr="00AC4F3E">
        <w:rPr>
          <w:rFonts w:cstheme="minorHAnsi"/>
          <w:lang w:val="en-GB"/>
        </w:rPr>
        <w:t xml:space="preserve"> an agreement party in this context. </w:t>
      </w:r>
    </w:p>
    <w:p w14:paraId="0C1C5DFA" w14:textId="090E68BC" w:rsidR="00AC4F3E" w:rsidRPr="00AC4F3E" w:rsidRDefault="00AC4F3E" w:rsidP="00AC4F3E">
      <w:pPr>
        <w:numPr>
          <w:ilvl w:val="0"/>
          <w:numId w:val="5"/>
        </w:numPr>
        <w:rPr>
          <w:rFonts w:cstheme="minorHAnsi"/>
          <w:lang w:val="en-US"/>
        </w:rPr>
      </w:pPr>
      <w:r w:rsidRPr="00AC4F3E">
        <w:rPr>
          <w:rFonts w:cstheme="minorHAnsi"/>
          <w:lang w:val="en-GB"/>
        </w:rPr>
        <w:t xml:space="preserve">XCS will complete rudimentary checks in both Lineage and ECF </w:t>
      </w:r>
      <w:r w:rsidR="00A8082E" w:rsidRPr="00AC4F3E">
        <w:rPr>
          <w:rFonts w:cstheme="minorHAnsi"/>
          <w:lang w:val="en-GB"/>
        </w:rPr>
        <w:t>i.e.,</w:t>
      </w:r>
      <w:r w:rsidRPr="00AC4F3E">
        <w:rPr>
          <w:rFonts w:cstheme="minorHAnsi"/>
          <w:lang w:val="en-GB"/>
        </w:rPr>
        <w:t xml:space="preserve"> has the correct OSN&amp;D/ Risk Code been used etc., and will ensure the required authority has been obtained. XCS will also ensure the transactions </w:t>
      </w:r>
      <w:proofErr w:type="gramStart"/>
      <w:r w:rsidRPr="00AC4F3E">
        <w:rPr>
          <w:rFonts w:cstheme="minorHAnsi"/>
          <w:lang w:val="en-GB"/>
        </w:rPr>
        <w:t>entered into</w:t>
      </w:r>
      <w:proofErr w:type="gramEnd"/>
      <w:r w:rsidRPr="00AC4F3E">
        <w:rPr>
          <w:rFonts w:cstheme="minorHAnsi"/>
          <w:lang w:val="en-GB"/>
        </w:rPr>
        <w:t xml:space="preserve"> Lineage are in accordance with the ECF file. Any discrepancies will be raised. </w:t>
      </w:r>
    </w:p>
    <w:p w14:paraId="374DF578" w14:textId="77777777" w:rsidR="00AC4F3E" w:rsidRPr="00AC4F3E" w:rsidRDefault="00AC4F3E" w:rsidP="00AC4F3E">
      <w:pPr>
        <w:numPr>
          <w:ilvl w:val="0"/>
          <w:numId w:val="5"/>
        </w:numPr>
        <w:rPr>
          <w:rFonts w:cstheme="minorHAnsi"/>
          <w:lang w:val="en-US"/>
        </w:rPr>
      </w:pPr>
      <w:r w:rsidRPr="00AC4F3E">
        <w:rPr>
          <w:rFonts w:cstheme="minorHAnsi"/>
          <w:lang w:val="en-GB"/>
        </w:rPr>
        <w:t xml:space="preserve">XCS will check that payments authorised by Underwriters have been settled in Lineage; again, any discrepancies will be raised. </w:t>
      </w:r>
    </w:p>
    <w:p w14:paraId="44CED888" w14:textId="77777777" w:rsidR="00AC4F3E" w:rsidRPr="00AC4F3E" w:rsidRDefault="00AC4F3E" w:rsidP="00AC4F3E">
      <w:pPr>
        <w:numPr>
          <w:ilvl w:val="0"/>
          <w:numId w:val="5"/>
        </w:numPr>
        <w:rPr>
          <w:rFonts w:cstheme="minorHAnsi"/>
          <w:lang w:val="en-US"/>
        </w:rPr>
      </w:pPr>
      <w:r w:rsidRPr="00AC4F3E">
        <w:rPr>
          <w:rFonts w:cstheme="minorHAnsi"/>
          <w:lang w:val="en-GB"/>
        </w:rPr>
        <w:t xml:space="preserve">Lloyd’s have agreed the data submitted via the Lineage portal supersedes data held in CLASS. The data submitted in the monthly bdx will therefore NOT be checked by XCS in advance of the upload to CLASS. </w:t>
      </w:r>
    </w:p>
    <w:p w14:paraId="4E55AE60" w14:textId="77777777" w:rsidR="00AC4F3E" w:rsidRPr="00AC4F3E" w:rsidRDefault="00AC4F3E" w:rsidP="00AC4F3E">
      <w:pPr>
        <w:numPr>
          <w:ilvl w:val="0"/>
          <w:numId w:val="5"/>
        </w:numPr>
        <w:rPr>
          <w:rFonts w:cstheme="minorHAnsi"/>
          <w:lang w:val="en-US"/>
        </w:rPr>
      </w:pPr>
      <w:r w:rsidRPr="00AC4F3E">
        <w:rPr>
          <w:rFonts w:cstheme="minorHAnsi"/>
          <w:lang w:val="en-GB"/>
        </w:rPr>
        <w:t>XCS are responsible for completing XCS CLASS records for all Scheme Canada advances which have been approved in Lineage by third parties (where Syndicates have other approval arrangements but still require CLASS records).</w:t>
      </w:r>
    </w:p>
    <w:p w14:paraId="480F71F7" w14:textId="77777777" w:rsidR="00AC4F3E" w:rsidRPr="00AC4F3E" w:rsidRDefault="00AC4F3E" w:rsidP="00AC4F3E">
      <w:pPr>
        <w:numPr>
          <w:ilvl w:val="0"/>
          <w:numId w:val="5"/>
        </w:numPr>
        <w:rPr>
          <w:rFonts w:cstheme="minorHAnsi"/>
          <w:lang w:val="en-US"/>
        </w:rPr>
      </w:pPr>
      <w:r w:rsidRPr="00AC4F3E">
        <w:rPr>
          <w:rFonts w:cstheme="minorHAnsi"/>
          <w:lang w:val="en-GB"/>
        </w:rPr>
        <w:t xml:space="preserve">The Scheme Canada Team in XCS provide daily support to the market in addition to the day-to-day processing. </w:t>
      </w:r>
    </w:p>
    <w:p w14:paraId="1A236DA7" w14:textId="565CD86D" w:rsidR="001B42AE" w:rsidRDefault="001B42AE">
      <w:pPr>
        <w:rPr>
          <w:rFonts w:cstheme="minorHAnsi"/>
          <w:lang w:val="en-US"/>
        </w:rPr>
      </w:pPr>
      <w:r>
        <w:rPr>
          <w:rFonts w:cstheme="minorHAnsi"/>
          <w:lang w:val="en-US"/>
        </w:rPr>
        <w:br w:type="page"/>
      </w:r>
    </w:p>
    <w:p w14:paraId="42E79EBF" w14:textId="77777777" w:rsidR="00F64FF0" w:rsidRPr="00D92A8B" w:rsidRDefault="00F64FF0">
      <w:pPr>
        <w:rPr>
          <w:rFonts w:cstheme="minorHAnsi"/>
          <w:lang w:val="en-US"/>
        </w:rPr>
      </w:pPr>
    </w:p>
    <w:p w14:paraId="3A3DE6DB" w14:textId="77777777" w:rsidR="003D77FC" w:rsidRPr="00E259D8" w:rsidRDefault="003D77FC">
      <w:pPr>
        <w:rPr>
          <w:rFonts w:cstheme="minorHAnsi"/>
          <w:b/>
          <w:sz w:val="44"/>
          <w:szCs w:val="44"/>
          <w:u w:val="single"/>
          <w:lang w:val="en-US"/>
        </w:rPr>
      </w:pPr>
      <w:r w:rsidRPr="00E259D8">
        <w:rPr>
          <w:rFonts w:cstheme="minorHAnsi"/>
          <w:b/>
          <w:sz w:val="44"/>
          <w:szCs w:val="44"/>
          <w:u w:val="single"/>
          <w:lang w:val="en-US"/>
        </w:rPr>
        <w:t xml:space="preserve">Claims Reports </w:t>
      </w:r>
    </w:p>
    <w:p w14:paraId="73CE2DEE" w14:textId="3D1A4961" w:rsidR="00F64FF0" w:rsidRDefault="00F64FF0">
      <w:pPr>
        <w:rPr>
          <w:rFonts w:cstheme="minorHAnsi"/>
          <w:lang w:val="en-US"/>
        </w:rPr>
      </w:pPr>
      <w:r w:rsidRPr="00D92A8B">
        <w:rPr>
          <w:rFonts w:cstheme="minorHAnsi"/>
          <w:lang w:val="en-US"/>
        </w:rPr>
        <w:t>Summary of Claim Reports generated by Lloyd’s Canada (Lineage application)</w:t>
      </w:r>
    </w:p>
    <w:p w14:paraId="347DD5CC" w14:textId="5A7FB87E" w:rsidR="006F4780" w:rsidRDefault="006F4780">
      <w:pPr>
        <w:rPr>
          <w:rFonts w:cstheme="minorHAnsi"/>
          <w:lang w:val="en-US"/>
        </w:rPr>
      </w:pPr>
    </w:p>
    <w:tbl>
      <w:tblPr>
        <w:tblStyle w:val="TableGrid"/>
        <w:tblW w:w="0" w:type="auto"/>
        <w:tblLook w:val="04A0" w:firstRow="1" w:lastRow="0" w:firstColumn="1" w:lastColumn="0" w:noHBand="0" w:noVBand="1"/>
      </w:tblPr>
      <w:tblGrid>
        <w:gridCol w:w="2738"/>
        <w:gridCol w:w="1373"/>
        <w:gridCol w:w="1413"/>
        <w:gridCol w:w="3604"/>
      </w:tblGrid>
      <w:tr w:rsidR="00CA52BF" w:rsidRPr="006F4780" w14:paraId="414A1DEF" w14:textId="77777777" w:rsidTr="00CA52BF">
        <w:trPr>
          <w:trHeight w:val="330"/>
        </w:trPr>
        <w:tc>
          <w:tcPr>
            <w:tcW w:w="2738" w:type="dxa"/>
            <w:shd w:val="clear" w:color="auto" w:fill="0070C0"/>
            <w:hideMark/>
          </w:tcPr>
          <w:p w14:paraId="70EDA201" w14:textId="77777777" w:rsidR="00CA52BF" w:rsidRPr="00CA52BF" w:rsidRDefault="00CA52BF" w:rsidP="00CA52BF">
            <w:pPr>
              <w:rPr>
                <w:rFonts w:cstheme="minorHAnsi"/>
                <w:b/>
                <w:bCs/>
                <w:color w:val="FFFFFF" w:themeColor="background1"/>
              </w:rPr>
            </w:pPr>
            <w:r w:rsidRPr="00CA52BF">
              <w:rPr>
                <w:rFonts w:cstheme="minorHAnsi"/>
                <w:b/>
                <w:bCs/>
                <w:color w:val="FFFFFF" w:themeColor="background1"/>
              </w:rPr>
              <w:t>Report Name</w:t>
            </w:r>
          </w:p>
        </w:tc>
        <w:tc>
          <w:tcPr>
            <w:tcW w:w="1373" w:type="dxa"/>
            <w:shd w:val="clear" w:color="auto" w:fill="0070C0"/>
            <w:hideMark/>
          </w:tcPr>
          <w:p w14:paraId="676D0356" w14:textId="5CDE99A3" w:rsidR="00CA52BF" w:rsidRPr="00CA52BF" w:rsidRDefault="00CA52BF" w:rsidP="00CA52BF">
            <w:pPr>
              <w:rPr>
                <w:rFonts w:cstheme="minorHAnsi"/>
                <w:b/>
                <w:bCs/>
                <w:color w:val="FFFFFF" w:themeColor="background1"/>
              </w:rPr>
            </w:pPr>
            <w:r w:rsidRPr="00CA52BF">
              <w:rPr>
                <w:rFonts w:cstheme="minorHAnsi"/>
                <w:b/>
                <w:bCs/>
                <w:color w:val="FFFFFF" w:themeColor="background1"/>
              </w:rPr>
              <w:t>Availability (Business Days)</w:t>
            </w:r>
          </w:p>
        </w:tc>
        <w:tc>
          <w:tcPr>
            <w:tcW w:w="1413" w:type="dxa"/>
            <w:shd w:val="clear" w:color="auto" w:fill="0070C0"/>
            <w:noWrap/>
            <w:hideMark/>
          </w:tcPr>
          <w:p w14:paraId="5C25E790" w14:textId="77777777" w:rsidR="00CA52BF" w:rsidRPr="00CA52BF" w:rsidRDefault="00CA52BF" w:rsidP="00CA52BF">
            <w:pPr>
              <w:rPr>
                <w:rFonts w:cstheme="minorHAnsi"/>
                <w:b/>
                <w:bCs/>
                <w:color w:val="FFFFFF" w:themeColor="background1"/>
              </w:rPr>
            </w:pPr>
            <w:r w:rsidRPr="00CA52BF">
              <w:rPr>
                <w:rFonts w:cstheme="minorHAnsi"/>
                <w:b/>
                <w:bCs/>
                <w:color w:val="FFFFFF" w:themeColor="background1"/>
              </w:rPr>
              <w:t>Format</w:t>
            </w:r>
          </w:p>
        </w:tc>
        <w:tc>
          <w:tcPr>
            <w:tcW w:w="3604" w:type="dxa"/>
            <w:shd w:val="clear" w:color="auto" w:fill="0070C0"/>
            <w:hideMark/>
          </w:tcPr>
          <w:p w14:paraId="353159AD" w14:textId="77777777" w:rsidR="00CA52BF" w:rsidRPr="00CA52BF" w:rsidRDefault="00CA52BF" w:rsidP="00CA52BF">
            <w:pPr>
              <w:rPr>
                <w:rFonts w:cstheme="minorHAnsi"/>
                <w:b/>
                <w:bCs/>
                <w:color w:val="FFFFFF" w:themeColor="background1"/>
              </w:rPr>
            </w:pPr>
            <w:r w:rsidRPr="00CA52BF">
              <w:rPr>
                <w:rFonts w:cstheme="minorHAnsi"/>
                <w:b/>
                <w:bCs/>
                <w:color w:val="FFFFFF" w:themeColor="background1"/>
              </w:rPr>
              <w:t>Report Description</w:t>
            </w:r>
          </w:p>
        </w:tc>
      </w:tr>
      <w:tr w:rsidR="00CA52BF" w:rsidRPr="006F4780" w14:paraId="38E8AE36" w14:textId="77777777" w:rsidTr="006F4780">
        <w:trPr>
          <w:trHeight w:val="4845"/>
        </w:trPr>
        <w:tc>
          <w:tcPr>
            <w:tcW w:w="2738" w:type="dxa"/>
            <w:hideMark/>
          </w:tcPr>
          <w:p w14:paraId="536B3CBB" w14:textId="77777777" w:rsidR="00CA52BF" w:rsidRPr="006F4780" w:rsidRDefault="00CA52BF" w:rsidP="00CA52BF">
            <w:pPr>
              <w:spacing w:before="240"/>
              <w:rPr>
                <w:rFonts w:cstheme="minorHAnsi"/>
              </w:rPr>
            </w:pPr>
            <w:r w:rsidRPr="006F4780">
              <w:rPr>
                <w:rFonts w:cstheme="minorHAnsi"/>
              </w:rPr>
              <w:t>Claims Analysis - Claims History (Drilldown Data Export)</w:t>
            </w:r>
            <w:r w:rsidRPr="006F4780">
              <w:rPr>
                <w:rFonts w:cstheme="minorHAnsi"/>
              </w:rPr>
              <w:br/>
              <w:t>&amp;</w:t>
            </w:r>
            <w:r w:rsidRPr="006F4780">
              <w:rPr>
                <w:rFonts w:cstheme="minorHAnsi"/>
              </w:rPr>
              <w:br/>
              <w:t>Claims Analysis - Data Extracts - Claims History</w:t>
            </w:r>
          </w:p>
        </w:tc>
        <w:tc>
          <w:tcPr>
            <w:tcW w:w="1373" w:type="dxa"/>
            <w:hideMark/>
          </w:tcPr>
          <w:p w14:paraId="5405A2C8" w14:textId="77777777" w:rsidR="00CA52BF" w:rsidRPr="006F4780" w:rsidRDefault="00CA52BF" w:rsidP="00CA52BF">
            <w:pPr>
              <w:spacing w:before="240"/>
              <w:rPr>
                <w:rFonts w:cstheme="minorHAnsi"/>
              </w:rPr>
            </w:pPr>
            <w:r w:rsidRPr="006F4780">
              <w:rPr>
                <w:rFonts w:cstheme="minorHAnsi"/>
              </w:rPr>
              <w:t xml:space="preserve">6th </w:t>
            </w:r>
          </w:p>
        </w:tc>
        <w:tc>
          <w:tcPr>
            <w:tcW w:w="1413" w:type="dxa"/>
            <w:hideMark/>
          </w:tcPr>
          <w:p w14:paraId="7742AC1E"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53D1F674" w14:textId="389E7B31" w:rsidR="00CA52BF" w:rsidRPr="006F4780" w:rsidRDefault="00CA52BF" w:rsidP="00CA52BF">
            <w:pPr>
              <w:spacing w:before="240"/>
              <w:rPr>
                <w:rFonts w:cstheme="minorHAnsi"/>
              </w:rPr>
            </w:pPr>
            <w:r w:rsidRPr="006F4780">
              <w:rPr>
                <w:rFonts w:cstheme="minorHAnsi"/>
              </w:rPr>
              <w:t xml:space="preserve">Provides “as at” details of all open and closed claims on a Binding Authority and caters to those stakeholders who require the details of all claim activity for a Binding Authority contract. These details can be used to support e.g., profit commission calculations, </w:t>
            </w:r>
            <w:proofErr w:type="gramStart"/>
            <w:r w:rsidRPr="006F4780">
              <w:rPr>
                <w:rFonts w:cstheme="minorHAnsi"/>
              </w:rPr>
              <w:t>analyses</w:t>
            </w:r>
            <w:proofErr w:type="gramEnd"/>
            <w:r w:rsidRPr="006F4780">
              <w:rPr>
                <w:rFonts w:cstheme="minorHAnsi"/>
              </w:rPr>
              <w:t xml:space="preserve"> and preparation for BA renewal discussions. The report will provide the “as at” picture for any or all claims as well as the ability to track the life cycle of a particular claim. </w:t>
            </w:r>
          </w:p>
        </w:tc>
      </w:tr>
      <w:tr w:rsidR="00CA52BF" w:rsidRPr="006F4780" w14:paraId="1D3B671E" w14:textId="77777777" w:rsidTr="006F4780">
        <w:trPr>
          <w:trHeight w:val="2805"/>
        </w:trPr>
        <w:tc>
          <w:tcPr>
            <w:tcW w:w="2738" w:type="dxa"/>
            <w:hideMark/>
          </w:tcPr>
          <w:p w14:paraId="517020F0" w14:textId="77777777" w:rsidR="00CA52BF" w:rsidRPr="006F4780" w:rsidRDefault="00CA52BF" w:rsidP="00CA52BF">
            <w:pPr>
              <w:spacing w:before="240"/>
              <w:rPr>
                <w:rFonts w:cstheme="minorHAnsi"/>
              </w:rPr>
            </w:pPr>
            <w:r w:rsidRPr="006F4780">
              <w:rPr>
                <w:rFonts w:cstheme="minorHAnsi"/>
              </w:rPr>
              <w:t>Claims Analysis - Claims Movement (Drilldown Data Export)</w:t>
            </w:r>
            <w:r w:rsidRPr="006F4780">
              <w:rPr>
                <w:rFonts w:cstheme="minorHAnsi"/>
              </w:rPr>
              <w:br/>
              <w:t>&amp;</w:t>
            </w:r>
            <w:r w:rsidRPr="006F4780">
              <w:rPr>
                <w:rFonts w:cstheme="minorHAnsi"/>
              </w:rPr>
              <w:br/>
              <w:t>Claims Analysis - Data Extracts - Claims Movement</w:t>
            </w:r>
          </w:p>
        </w:tc>
        <w:tc>
          <w:tcPr>
            <w:tcW w:w="1373" w:type="dxa"/>
            <w:hideMark/>
          </w:tcPr>
          <w:p w14:paraId="55AC706D" w14:textId="77777777" w:rsidR="00CA52BF" w:rsidRPr="006F4780" w:rsidRDefault="00CA52BF" w:rsidP="00CA52BF">
            <w:pPr>
              <w:spacing w:before="240"/>
              <w:rPr>
                <w:rFonts w:cstheme="minorHAnsi"/>
              </w:rPr>
            </w:pPr>
            <w:r w:rsidRPr="006F4780">
              <w:rPr>
                <w:rFonts w:cstheme="minorHAnsi"/>
              </w:rPr>
              <w:t xml:space="preserve">4th </w:t>
            </w:r>
          </w:p>
        </w:tc>
        <w:tc>
          <w:tcPr>
            <w:tcW w:w="1413" w:type="dxa"/>
            <w:hideMark/>
          </w:tcPr>
          <w:p w14:paraId="5361EC40"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6EB1273E" w14:textId="77777777" w:rsidR="00CA52BF" w:rsidRPr="006F4780" w:rsidRDefault="00CA52BF" w:rsidP="00CA52BF">
            <w:pPr>
              <w:spacing w:before="240"/>
              <w:rPr>
                <w:rFonts w:cstheme="minorHAnsi"/>
              </w:rPr>
            </w:pPr>
            <w:r w:rsidRPr="006F4780">
              <w:rPr>
                <w:rFonts w:cstheme="minorHAnsi"/>
              </w:rPr>
              <w:t>Allows to readily identify the quantum and detail of claim movements that occurred in the latest reporting month, thus focusing attention on business activity (for Binding Authorities classified “Lineage Accounting &amp; Settlement” where FDO details have been received and applied by Lloyd’s Canada).</w:t>
            </w:r>
          </w:p>
        </w:tc>
      </w:tr>
      <w:tr w:rsidR="00CA52BF" w:rsidRPr="006F4780" w14:paraId="30639372" w14:textId="77777777" w:rsidTr="006F4780">
        <w:trPr>
          <w:trHeight w:val="1995"/>
        </w:trPr>
        <w:tc>
          <w:tcPr>
            <w:tcW w:w="2738" w:type="dxa"/>
            <w:noWrap/>
            <w:hideMark/>
          </w:tcPr>
          <w:p w14:paraId="0AEFAB77" w14:textId="77777777" w:rsidR="00CA52BF" w:rsidRPr="006F4780" w:rsidRDefault="00CA52BF" w:rsidP="00CA52BF">
            <w:pPr>
              <w:spacing w:before="240"/>
              <w:rPr>
                <w:rFonts w:cstheme="minorHAnsi"/>
              </w:rPr>
            </w:pPr>
            <w:r w:rsidRPr="006F4780">
              <w:rPr>
                <w:rFonts w:cstheme="minorHAnsi"/>
              </w:rPr>
              <w:t>Claims Monthly Extract</w:t>
            </w:r>
          </w:p>
        </w:tc>
        <w:tc>
          <w:tcPr>
            <w:tcW w:w="1373" w:type="dxa"/>
            <w:hideMark/>
          </w:tcPr>
          <w:p w14:paraId="2791A53C" w14:textId="77777777" w:rsidR="00CA52BF" w:rsidRPr="006F4780" w:rsidRDefault="00CA52BF" w:rsidP="00CA52BF">
            <w:pPr>
              <w:spacing w:before="240"/>
              <w:rPr>
                <w:rFonts w:cstheme="minorHAnsi"/>
              </w:rPr>
            </w:pPr>
            <w:r w:rsidRPr="006F4780">
              <w:rPr>
                <w:rFonts w:cstheme="minorHAnsi"/>
              </w:rPr>
              <w:t xml:space="preserve">20th </w:t>
            </w:r>
          </w:p>
        </w:tc>
        <w:tc>
          <w:tcPr>
            <w:tcW w:w="1413" w:type="dxa"/>
            <w:noWrap/>
            <w:hideMark/>
          </w:tcPr>
          <w:p w14:paraId="197CC0B2" w14:textId="77777777" w:rsidR="00CA52BF" w:rsidRPr="006F4780" w:rsidRDefault="00CA52BF" w:rsidP="00CA52BF">
            <w:pPr>
              <w:spacing w:before="240"/>
              <w:rPr>
                <w:rFonts w:cstheme="minorHAnsi"/>
              </w:rPr>
            </w:pPr>
            <w:r w:rsidRPr="006F4780">
              <w:rPr>
                <w:rFonts w:cstheme="minorHAnsi"/>
              </w:rPr>
              <w:t>CSV</w:t>
            </w:r>
          </w:p>
        </w:tc>
        <w:tc>
          <w:tcPr>
            <w:tcW w:w="3604" w:type="dxa"/>
            <w:hideMark/>
          </w:tcPr>
          <w:p w14:paraId="61F93498" w14:textId="77777777" w:rsidR="00CA52BF" w:rsidRPr="006F4780" w:rsidRDefault="00CA52BF" w:rsidP="00CA52BF">
            <w:pPr>
              <w:spacing w:before="240"/>
              <w:rPr>
                <w:rFonts w:cstheme="minorHAnsi"/>
              </w:rPr>
            </w:pPr>
            <w:r w:rsidRPr="006F4780">
              <w:rPr>
                <w:rFonts w:cstheme="minorHAnsi"/>
              </w:rPr>
              <w:t xml:space="preserve">Monthly: Approved Claim transactions recorded by Coverholders and TPAs for the current accounting month including all the transactions being settled in the current month based on the </w:t>
            </w:r>
            <w:r w:rsidRPr="006F4780">
              <w:rPr>
                <w:rFonts w:cstheme="minorHAnsi"/>
              </w:rPr>
              <w:lastRenderedPageBreak/>
              <w:t>Terms of trade indicated on the Binding Authority.</w:t>
            </w:r>
          </w:p>
        </w:tc>
      </w:tr>
      <w:tr w:rsidR="00CA52BF" w:rsidRPr="006F4780" w14:paraId="395FBFD2" w14:textId="77777777" w:rsidTr="006F4780">
        <w:trPr>
          <w:trHeight w:val="2595"/>
        </w:trPr>
        <w:tc>
          <w:tcPr>
            <w:tcW w:w="2738" w:type="dxa"/>
            <w:noWrap/>
            <w:hideMark/>
          </w:tcPr>
          <w:p w14:paraId="771C494A" w14:textId="77777777" w:rsidR="00CA52BF" w:rsidRPr="006F4780" w:rsidRDefault="00CA52BF" w:rsidP="00CA52BF">
            <w:pPr>
              <w:spacing w:before="240"/>
              <w:rPr>
                <w:rFonts w:cstheme="minorHAnsi"/>
              </w:rPr>
            </w:pPr>
            <w:r w:rsidRPr="006F4780">
              <w:rPr>
                <w:rFonts w:cstheme="minorHAnsi"/>
              </w:rPr>
              <w:lastRenderedPageBreak/>
              <w:t>Claims per Binding Authority</w:t>
            </w:r>
          </w:p>
        </w:tc>
        <w:tc>
          <w:tcPr>
            <w:tcW w:w="1373" w:type="dxa"/>
            <w:hideMark/>
          </w:tcPr>
          <w:p w14:paraId="133483A9" w14:textId="77777777" w:rsidR="00CA52BF" w:rsidRPr="006F4780" w:rsidRDefault="00CA52BF" w:rsidP="00CA52BF">
            <w:pPr>
              <w:spacing w:before="240"/>
              <w:rPr>
                <w:rFonts w:cstheme="minorHAnsi"/>
              </w:rPr>
            </w:pPr>
            <w:r w:rsidRPr="006F4780">
              <w:rPr>
                <w:rFonts w:cstheme="minorHAnsi"/>
              </w:rPr>
              <w:t xml:space="preserve">6th </w:t>
            </w:r>
          </w:p>
        </w:tc>
        <w:tc>
          <w:tcPr>
            <w:tcW w:w="1413" w:type="dxa"/>
            <w:noWrap/>
            <w:hideMark/>
          </w:tcPr>
          <w:p w14:paraId="60ABB3E6" w14:textId="77777777" w:rsidR="00CA52BF" w:rsidRPr="006F4780" w:rsidRDefault="00CA52BF" w:rsidP="00CA52BF">
            <w:pPr>
              <w:spacing w:before="240"/>
              <w:rPr>
                <w:rFonts w:cstheme="minorHAnsi"/>
              </w:rPr>
            </w:pPr>
            <w:r w:rsidRPr="006F4780">
              <w:rPr>
                <w:rFonts w:cstheme="minorHAnsi"/>
              </w:rPr>
              <w:t>CSV</w:t>
            </w:r>
          </w:p>
        </w:tc>
        <w:tc>
          <w:tcPr>
            <w:tcW w:w="3604" w:type="dxa"/>
            <w:hideMark/>
          </w:tcPr>
          <w:p w14:paraId="36215FAA" w14:textId="0FFE26D3" w:rsidR="00CA52BF" w:rsidRPr="006F4780" w:rsidRDefault="00CA52BF" w:rsidP="00CA52BF">
            <w:pPr>
              <w:spacing w:before="240"/>
              <w:rPr>
                <w:rFonts w:cstheme="minorHAnsi"/>
              </w:rPr>
            </w:pPr>
            <w:r w:rsidRPr="006F4780">
              <w:rPr>
                <w:rFonts w:cstheme="minorHAnsi"/>
              </w:rPr>
              <w:t>List of in-force claims within a Binding Authority Contract (claim level). The report includes all open and closed claims related to Binding Authority Contracts effective in the last 7 years (i.e., current Reporting period minus 7). For older Binding Authority Contracts, the report shows all open and closed claims where at least one claim is still opened or has been reopened.</w:t>
            </w:r>
          </w:p>
        </w:tc>
      </w:tr>
      <w:tr w:rsidR="00CA52BF" w:rsidRPr="006F4780" w14:paraId="183C892B" w14:textId="77777777" w:rsidTr="006F4780">
        <w:trPr>
          <w:trHeight w:val="2175"/>
        </w:trPr>
        <w:tc>
          <w:tcPr>
            <w:tcW w:w="2738" w:type="dxa"/>
            <w:noWrap/>
            <w:hideMark/>
          </w:tcPr>
          <w:p w14:paraId="294EA492" w14:textId="77777777" w:rsidR="00CA52BF" w:rsidRPr="006F4780" w:rsidRDefault="00CA52BF" w:rsidP="00CA52BF">
            <w:pPr>
              <w:spacing w:before="240"/>
              <w:rPr>
                <w:rFonts w:cstheme="minorHAnsi"/>
              </w:rPr>
            </w:pPr>
            <w:r w:rsidRPr="006F4780">
              <w:rPr>
                <w:rFonts w:cstheme="minorHAnsi"/>
              </w:rPr>
              <w:t>Claims Reconciliation</w:t>
            </w:r>
          </w:p>
        </w:tc>
        <w:tc>
          <w:tcPr>
            <w:tcW w:w="1373" w:type="dxa"/>
            <w:hideMark/>
          </w:tcPr>
          <w:p w14:paraId="490C413E" w14:textId="77777777" w:rsidR="00CA52BF" w:rsidRPr="006F4780" w:rsidRDefault="00CA52BF" w:rsidP="00CA52BF">
            <w:pPr>
              <w:spacing w:before="240"/>
              <w:rPr>
                <w:rFonts w:cstheme="minorHAnsi"/>
              </w:rPr>
            </w:pPr>
            <w:r w:rsidRPr="006F4780">
              <w:rPr>
                <w:rFonts w:cstheme="minorHAnsi"/>
              </w:rPr>
              <w:t xml:space="preserve">8th </w:t>
            </w:r>
          </w:p>
        </w:tc>
        <w:tc>
          <w:tcPr>
            <w:tcW w:w="1413" w:type="dxa"/>
            <w:noWrap/>
            <w:hideMark/>
          </w:tcPr>
          <w:p w14:paraId="762FB6F2" w14:textId="77777777" w:rsidR="00CA52BF" w:rsidRPr="006F4780" w:rsidRDefault="00CA52BF" w:rsidP="00CA52BF">
            <w:pPr>
              <w:spacing w:before="240"/>
              <w:rPr>
                <w:rFonts w:cstheme="minorHAnsi"/>
              </w:rPr>
            </w:pPr>
            <w:r w:rsidRPr="006F4780">
              <w:rPr>
                <w:rFonts w:cstheme="minorHAnsi"/>
              </w:rPr>
              <w:t>CSV</w:t>
            </w:r>
          </w:p>
        </w:tc>
        <w:tc>
          <w:tcPr>
            <w:tcW w:w="3604" w:type="dxa"/>
            <w:hideMark/>
          </w:tcPr>
          <w:p w14:paraId="1F8A5070" w14:textId="77777777" w:rsidR="00CA52BF" w:rsidRPr="006F4780" w:rsidRDefault="00CA52BF" w:rsidP="00CA52BF">
            <w:pPr>
              <w:spacing w:before="240"/>
              <w:rPr>
                <w:rFonts w:cstheme="minorHAnsi"/>
              </w:rPr>
            </w:pPr>
            <w:r w:rsidRPr="006F4780">
              <w:rPr>
                <w:rFonts w:cstheme="minorHAnsi"/>
              </w:rPr>
              <w:t>Aggregated Claim Reconciliation Transactions registered including transactions that are not yet showing in the Xchanging CLASS system. Information aggregated at the claim level, with a total by FDO Block/ I-Item. Report is used to reconcile between Lineage and CLASS.</w:t>
            </w:r>
          </w:p>
        </w:tc>
      </w:tr>
      <w:tr w:rsidR="00CA52BF" w:rsidRPr="006F4780" w14:paraId="62EA1BA1" w14:textId="77777777" w:rsidTr="006F4780">
        <w:trPr>
          <w:trHeight w:val="2130"/>
        </w:trPr>
        <w:tc>
          <w:tcPr>
            <w:tcW w:w="2738" w:type="dxa"/>
            <w:vMerge w:val="restart"/>
            <w:noWrap/>
            <w:hideMark/>
          </w:tcPr>
          <w:p w14:paraId="6566FE1A" w14:textId="77777777" w:rsidR="00CA52BF" w:rsidRPr="006F4780" w:rsidRDefault="00CA52BF" w:rsidP="00CA52BF">
            <w:pPr>
              <w:spacing w:before="240"/>
              <w:rPr>
                <w:rFonts w:cstheme="minorHAnsi"/>
              </w:rPr>
            </w:pPr>
            <w:r w:rsidRPr="006F4780">
              <w:rPr>
                <w:rFonts w:cstheme="minorHAnsi"/>
              </w:rPr>
              <w:t>Claims Weekly Extract</w:t>
            </w:r>
          </w:p>
        </w:tc>
        <w:tc>
          <w:tcPr>
            <w:tcW w:w="1373" w:type="dxa"/>
            <w:vMerge w:val="restart"/>
            <w:hideMark/>
          </w:tcPr>
          <w:p w14:paraId="3B2F1039" w14:textId="77777777" w:rsidR="00CA52BF" w:rsidRPr="006F4780" w:rsidRDefault="00CA52BF" w:rsidP="00CA52BF">
            <w:pPr>
              <w:spacing w:before="240"/>
              <w:rPr>
                <w:rFonts w:cstheme="minorHAnsi"/>
              </w:rPr>
            </w:pPr>
            <w:r w:rsidRPr="006F4780">
              <w:rPr>
                <w:rFonts w:cstheme="minorHAnsi"/>
              </w:rPr>
              <w:t>During the first business day of each week</w:t>
            </w:r>
          </w:p>
        </w:tc>
        <w:tc>
          <w:tcPr>
            <w:tcW w:w="1413" w:type="dxa"/>
            <w:vMerge w:val="restart"/>
            <w:noWrap/>
            <w:hideMark/>
          </w:tcPr>
          <w:p w14:paraId="178E4050" w14:textId="77777777" w:rsidR="00CA52BF" w:rsidRPr="006F4780" w:rsidRDefault="00CA52BF" w:rsidP="00CA52BF">
            <w:pPr>
              <w:spacing w:before="240"/>
              <w:rPr>
                <w:rFonts w:cstheme="minorHAnsi"/>
              </w:rPr>
            </w:pPr>
            <w:r w:rsidRPr="006F4780">
              <w:rPr>
                <w:rFonts w:cstheme="minorHAnsi"/>
              </w:rPr>
              <w:t>CSV</w:t>
            </w:r>
          </w:p>
        </w:tc>
        <w:tc>
          <w:tcPr>
            <w:tcW w:w="3604" w:type="dxa"/>
            <w:vMerge w:val="restart"/>
            <w:hideMark/>
          </w:tcPr>
          <w:p w14:paraId="4745FC3A" w14:textId="77777777" w:rsidR="00CA52BF" w:rsidRPr="006F4780" w:rsidRDefault="00CA52BF" w:rsidP="00CA52BF">
            <w:pPr>
              <w:spacing w:before="240"/>
              <w:rPr>
                <w:rFonts w:cstheme="minorHAnsi"/>
              </w:rPr>
            </w:pPr>
            <w:r w:rsidRPr="006F4780">
              <w:rPr>
                <w:rFonts w:cstheme="minorHAnsi"/>
              </w:rPr>
              <w:t>Weekly:  Approved payments, advances and reclaims settled since the last time the report was produced. The report will exclude payments to date figures and outstanding and current reserve information.</w:t>
            </w:r>
          </w:p>
        </w:tc>
      </w:tr>
      <w:tr w:rsidR="00CA52BF" w:rsidRPr="006F4780" w14:paraId="6474DEBA" w14:textId="77777777" w:rsidTr="006F4780">
        <w:trPr>
          <w:trHeight w:val="450"/>
        </w:trPr>
        <w:tc>
          <w:tcPr>
            <w:tcW w:w="2738" w:type="dxa"/>
            <w:vMerge/>
            <w:hideMark/>
          </w:tcPr>
          <w:p w14:paraId="4A32D22B" w14:textId="77777777" w:rsidR="00CA52BF" w:rsidRPr="006F4780" w:rsidRDefault="00CA52BF" w:rsidP="00CA52BF">
            <w:pPr>
              <w:spacing w:before="240"/>
              <w:rPr>
                <w:rFonts w:cstheme="minorHAnsi"/>
              </w:rPr>
            </w:pPr>
          </w:p>
        </w:tc>
        <w:tc>
          <w:tcPr>
            <w:tcW w:w="1373" w:type="dxa"/>
            <w:vMerge/>
            <w:hideMark/>
          </w:tcPr>
          <w:p w14:paraId="1AB59DEE" w14:textId="77777777" w:rsidR="00CA52BF" w:rsidRPr="006F4780" w:rsidRDefault="00CA52BF" w:rsidP="00CA52BF">
            <w:pPr>
              <w:spacing w:before="240"/>
              <w:rPr>
                <w:rFonts w:cstheme="minorHAnsi"/>
              </w:rPr>
            </w:pPr>
          </w:p>
        </w:tc>
        <w:tc>
          <w:tcPr>
            <w:tcW w:w="1413" w:type="dxa"/>
            <w:vMerge/>
            <w:hideMark/>
          </w:tcPr>
          <w:p w14:paraId="447872ED" w14:textId="77777777" w:rsidR="00CA52BF" w:rsidRPr="006F4780" w:rsidRDefault="00CA52BF" w:rsidP="00CA52BF">
            <w:pPr>
              <w:spacing w:before="240"/>
              <w:rPr>
                <w:rFonts w:cstheme="minorHAnsi"/>
              </w:rPr>
            </w:pPr>
          </w:p>
        </w:tc>
        <w:tc>
          <w:tcPr>
            <w:tcW w:w="3604" w:type="dxa"/>
            <w:vMerge/>
            <w:hideMark/>
          </w:tcPr>
          <w:p w14:paraId="5BDDC22A" w14:textId="77777777" w:rsidR="00CA52BF" w:rsidRPr="006F4780" w:rsidRDefault="00CA52BF" w:rsidP="00CA52BF">
            <w:pPr>
              <w:spacing w:before="240"/>
              <w:rPr>
                <w:rFonts w:cstheme="minorHAnsi"/>
              </w:rPr>
            </w:pPr>
          </w:p>
        </w:tc>
      </w:tr>
      <w:tr w:rsidR="00CA52BF" w:rsidRPr="006F4780" w14:paraId="1A4F8469" w14:textId="77777777" w:rsidTr="006F4780">
        <w:trPr>
          <w:trHeight w:val="450"/>
        </w:trPr>
        <w:tc>
          <w:tcPr>
            <w:tcW w:w="2738" w:type="dxa"/>
            <w:vMerge/>
            <w:hideMark/>
          </w:tcPr>
          <w:p w14:paraId="729183AC" w14:textId="77777777" w:rsidR="00CA52BF" w:rsidRPr="006F4780" w:rsidRDefault="00CA52BF" w:rsidP="00CA52BF">
            <w:pPr>
              <w:spacing w:before="240"/>
              <w:rPr>
                <w:rFonts w:cstheme="minorHAnsi"/>
              </w:rPr>
            </w:pPr>
          </w:p>
        </w:tc>
        <w:tc>
          <w:tcPr>
            <w:tcW w:w="1373" w:type="dxa"/>
            <w:vMerge/>
            <w:hideMark/>
          </w:tcPr>
          <w:p w14:paraId="53755239" w14:textId="77777777" w:rsidR="00CA52BF" w:rsidRPr="006F4780" w:rsidRDefault="00CA52BF" w:rsidP="00CA52BF">
            <w:pPr>
              <w:spacing w:before="240"/>
              <w:rPr>
                <w:rFonts w:cstheme="minorHAnsi"/>
              </w:rPr>
            </w:pPr>
          </w:p>
        </w:tc>
        <w:tc>
          <w:tcPr>
            <w:tcW w:w="1413" w:type="dxa"/>
            <w:vMerge/>
            <w:hideMark/>
          </w:tcPr>
          <w:p w14:paraId="56E02E8C" w14:textId="77777777" w:rsidR="00CA52BF" w:rsidRPr="006F4780" w:rsidRDefault="00CA52BF" w:rsidP="00CA52BF">
            <w:pPr>
              <w:spacing w:before="240"/>
              <w:rPr>
                <w:rFonts w:cstheme="minorHAnsi"/>
              </w:rPr>
            </w:pPr>
          </w:p>
        </w:tc>
        <w:tc>
          <w:tcPr>
            <w:tcW w:w="3604" w:type="dxa"/>
            <w:vMerge/>
            <w:hideMark/>
          </w:tcPr>
          <w:p w14:paraId="71668287" w14:textId="77777777" w:rsidR="00CA52BF" w:rsidRPr="006F4780" w:rsidRDefault="00CA52BF" w:rsidP="00CA52BF">
            <w:pPr>
              <w:spacing w:before="240"/>
              <w:rPr>
                <w:rFonts w:cstheme="minorHAnsi"/>
              </w:rPr>
            </w:pPr>
          </w:p>
        </w:tc>
      </w:tr>
      <w:tr w:rsidR="00CA52BF" w:rsidRPr="006F4780" w14:paraId="489D3F64" w14:textId="77777777" w:rsidTr="006F4780">
        <w:trPr>
          <w:trHeight w:val="2130"/>
        </w:trPr>
        <w:tc>
          <w:tcPr>
            <w:tcW w:w="2738" w:type="dxa"/>
            <w:noWrap/>
            <w:hideMark/>
          </w:tcPr>
          <w:p w14:paraId="779782DD" w14:textId="77777777" w:rsidR="00CA52BF" w:rsidRPr="006F4780" w:rsidRDefault="00CA52BF" w:rsidP="00CA52BF">
            <w:pPr>
              <w:spacing w:before="240"/>
              <w:rPr>
                <w:rFonts w:cstheme="minorHAnsi"/>
              </w:rPr>
            </w:pPr>
            <w:r w:rsidRPr="006F4780">
              <w:rPr>
                <w:rFonts w:cstheme="minorHAnsi"/>
              </w:rPr>
              <w:t>Daily Claims Reconciliation</w:t>
            </w:r>
          </w:p>
        </w:tc>
        <w:tc>
          <w:tcPr>
            <w:tcW w:w="1373" w:type="dxa"/>
            <w:hideMark/>
          </w:tcPr>
          <w:p w14:paraId="0A844682" w14:textId="77777777" w:rsidR="00CA52BF" w:rsidRPr="006F4780" w:rsidRDefault="00CA52BF" w:rsidP="00CA52BF">
            <w:pPr>
              <w:spacing w:before="240"/>
              <w:rPr>
                <w:rFonts w:cstheme="minorHAnsi"/>
              </w:rPr>
            </w:pPr>
            <w:r w:rsidRPr="006F4780">
              <w:rPr>
                <w:rFonts w:cstheme="minorHAnsi"/>
              </w:rPr>
              <w:t>Daily</w:t>
            </w:r>
          </w:p>
        </w:tc>
        <w:tc>
          <w:tcPr>
            <w:tcW w:w="1413" w:type="dxa"/>
            <w:noWrap/>
            <w:hideMark/>
          </w:tcPr>
          <w:p w14:paraId="0F91A433" w14:textId="77777777" w:rsidR="00CA52BF" w:rsidRPr="006F4780" w:rsidRDefault="00CA52BF" w:rsidP="00CA52BF">
            <w:pPr>
              <w:spacing w:before="240"/>
              <w:rPr>
                <w:rFonts w:cstheme="minorHAnsi"/>
              </w:rPr>
            </w:pPr>
            <w:r w:rsidRPr="006F4780">
              <w:rPr>
                <w:rFonts w:cstheme="minorHAnsi"/>
              </w:rPr>
              <w:t>CSV</w:t>
            </w:r>
          </w:p>
        </w:tc>
        <w:tc>
          <w:tcPr>
            <w:tcW w:w="3604" w:type="dxa"/>
            <w:hideMark/>
          </w:tcPr>
          <w:p w14:paraId="6154EA21" w14:textId="77777777" w:rsidR="00CA52BF" w:rsidRPr="006F4780" w:rsidRDefault="00CA52BF" w:rsidP="00CA52BF">
            <w:pPr>
              <w:spacing w:before="240"/>
              <w:rPr>
                <w:rFonts w:cstheme="minorHAnsi"/>
              </w:rPr>
            </w:pPr>
            <w:r w:rsidRPr="006F4780">
              <w:rPr>
                <w:rFonts w:cstheme="minorHAnsi"/>
              </w:rPr>
              <w:t xml:space="preserve">Daily Claim transactions reported on the application. Information is cumulative and contains all transactions entered, regardless of effective date, from the first day to the last day of an accounting month. </w:t>
            </w:r>
            <w:r w:rsidRPr="006F4780">
              <w:rPr>
                <w:rFonts w:cstheme="minorHAnsi"/>
              </w:rPr>
              <w:lastRenderedPageBreak/>
              <w:t>Data includes information for the last 3 months.</w:t>
            </w:r>
          </w:p>
        </w:tc>
      </w:tr>
      <w:tr w:rsidR="00CA52BF" w:rsidRPr="006F4780" w14:paraId="15DA981C" w14:textId="77777777" w:rsidTr="006F4780">
        <w:trPr>
          <w:trHeight w:val="2580"/>
        </w:trPr>
        <w:tc>
          <w:tcPr>
            <w:tcW w:w="2738" w:type="dxa"/>
            <w:noWrap/>
            <w:hideMark/>
          </w:tcPr>
          <w:p w14:paraId="5395CA8D" w14:textId="77777777" w:rsidR="00CA52BF" w:rsidRPr="006F4780" w:rsidRDefault="00CA52BF" w:rsidP="00CA52BF">
            <w:pPr>
              <w:spacing w:before="240"/>
              <w:rPr>
                <w:rFonts w:cstheme="minorHAnsi"/>
              </w:rPr>
            </w:pPr>
            <w:r w:rsidRPr="006F4780">
              <w:rPr>
                <w:rFonts w:cstheme="minorHAnsi"/>
              </w:rPr>
              <w:t>Daily Premium Reconciliation</w:t>
            </w:r>
          </w:p>
        </w:tc>
        <w:tc>
          <w:tcPr>
            <w:tcW w:w="1373" w:type="dxa"/>
            <w:hideMark/>
          </w:tcPr>
          <w:p w14:paraId="34885A4A" w14:textId="77777777" w:rsidR="00CA52BF" w:rsidRPr="006F4780" w:rsidRDefault="00CA52BF" w:rsidP="00CA52BF">
            <w:pPr>
              <w:spacing w:before="240"/>
              <w:rPr>
                <w:rFonts w:cstheme="minorHAnsi"/>
              </w:rPr>
            </w:pPr>
            <w:r w:rsidRPr="006F4780">
              <w:rPr>
                <w:rFonts w:cstheme="minorHAnsi"/>
              </w:rPr>
              <w:t>Daily</w:t>
            </w:r>
          </w:p>
        </w:tc>
        <w:tc>
          <w:tcPr>
            <w:tcW w:w="1413" w:type="dxa"/>
            <w:noWrap/>
            <w:hideMark/>
          </w:tcPr>
          <w:p w14:paraId="6DFCA544" w14:textId="77777777" w:rsidR="00CA52BF" w:rsidRPr="006F4780" w:rsidRDefault="00CA52BF" w:rsidP="00CA52BF">
            <w:pPr>
              <w:spacing w:before="240"/>
              <w:rPr>
                <w:rFonts w:cstheme="minorHAnsi"/>
              </w:rPr>
            </w:pPr>
            <w:r w:rsidRPr="006F4780">
              <w:rPr>
                <w:rFonts w:cstheme="minorHAnsi"/>
              </w:rPr>
              <w:t>CSV</w:t>
            </w:r>
          </w:p>
        </w:tc>
        <w:tc>
          <w:tcPr>
            <w:tcW w:w="3604" w:type="dxa"/>
            <w:hideMark/>
          </w:tcPr>
          <w:p w14:paraId="105D207C" w14:textId="77777777" w:rsidR="00CA52BF" w:rsidRPr="006F4780" w:rsidRDefault="00CA52BF" w:rsidP="00CA52BF">
            <w:pPr>
              <w:spacing w:before="240"/>
              <w:rPr>
                <w:rFonts w:cstheme="minorHAnsi"/>
              </w:rPr>
            </w:pPr>
            <w:r w:rsidRPr="006F4780">
              <w:rPr>
                <w:rFonts w:cstheme="minorHAnsi"/>
              </w:rPr>
              <w:t>Daily Premium transactions reported on the application. Information is cumulative and contains all transactions entered, regardless of effective date, from the first day to the last day of an accounting month. Data includes information for the last 3 months.</w:t>
            </w:r>
          </w:p>
        </w:tc>
      </w:tr>
      <w:tr w:rsidR="00CA52BF" w:rsidRPr="006F4780" w14:paraId="600188E9" w14:textId="77777777" w:rsidTr="006F4780">
        <w:trPr>
          <w:trHeight w:val="1500"/>
        </w:trPr>
        <w:tc>
          <w:tcPr>
            <w:tcW w:w="2738" w:type="dxa"/>
            <w:hideMark/>
          </w:tcPr>
          <w:p w14:paraId="7E0A3146" w14:textId="77777777" w:rsidR="00CA52BF" w:rsidRPr="006F4780" w:rsidRDefault="00CA52BF" w:rsidP="00CA52BF">
            <w:pPr>
              <w:spacing w:before="240"/>
              <w:rPr>
                <w:rFonts w:cstheme="minorHAnsi"/>
              </w:rPr>
            </w:pPr>
            <w:r w:rsidRPr="006F4780">
              <w:rPr>
                <w:rFonts w:cstheme="minorHAnsi"/>
              </w:rPr>
              <w:t>Executive Dashboard - Data Extracts - Binding Authority Analysis</w:t>
            </w:r>
          </w:p>
        </w:tc>
        <w:tc>
          <w:tcPr>
            <w:tcW w:w="1373" w:type="dxa"/>
            <w:hideMark/>
          </w:tcPr>
          <w:p w14:paraId="68115917" w14:textId="77777777" w:rsidR="00CA52BF" w:rsidRPr="006F4780" w:rsidRDefault="00CA52BF" w:rsidP="00CA52BF">
            <w:pPr>
              <w:spacing w:before="240"/>
              <w:rPr>
                <w:rFonts w:cstheme="minorHAnsi"/>
              </w:rPr>
            </w:pPr>
            <w:r w:rsidRPr="006F4780">
              <w:rPr>
                <w:rFonts w:cstheme="minorHAnsi"/>
              </w:rPr>
              <w:t xml:space="preserve">4th </w:t>
            </w:r>
          </w:p>
        </w:tc>
        <w:tc>
          <w:tcPr>
            <w:tcW w:w="1413" w:type="dxa"/>
            <w:noWrap/>
            <w:hideMark/>
          </w:tcPr>
          <w:p w14:paraId="7C93C18F"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4B7594F7" w14:textId="77777777" w:rsidR="00CA52BF" w:rsidRPr="006F4780" w:rsidRDefault="00CA52BF" w:rsidP="00CA52BF">
            <w:pPr>
              <w:spacing w:before="240"/>
              <w:rPr>
                <w:rFonts w:cstheme="minorHAnsi"/>
              </w:rPr>
            </w:pPr>
            <w:r w:rsidRPr="006F4780">
              <w:rPr>
                <w:rFonts w:cstheme="minorHAnsi"/>
              </w:rPr>
              <w:t>Allows user to create tailored report relating to Gross Written Premium and Incurred Claims for A&amp;S business where the FDO signing details have been received and attached to the respective Contracts/UMRs</w:t>
            </w:r>
          </w:p>
        </w:tc>
      </w:tr>
      <w:tr w:rsidR="00CA52BF" w:rsidRPr="006F4780" w14:paraId="4864A733" w14:textId="77777777" w:rsidTr="006F4780">
        <w:trPr>
          <w:trHeight w:val="1545"/>
        </w:trPr>
        <w:tc>
          <w:tcPr>
            <w:tcW w:w="2738" w:type="dxa"/>
            <w:hideMark/>
          </w:tcPr>
          <w:p w14:paraId="35EE49DB" w14:textId="77777777" w:rsidR="00CA52BF" w:rsidRPr="006F4780" w:rsidRDefault="00CA52BF" w:rsidP="00CA52BF">
            <w:pPr>
              <w:spacing w:before="240"/>
              <w:rPr>
                <w:rFonts w:cstheme="minorHAnsi"/>
              </w:rPr>
            </w:pPr>
            <w:r w:rsidRPr="006F4780">
              <w:rPr>
                <w:rFonts w:cstheme="minorHAnsi"/>
              </w:rPr>
              <w:t>Executive Dashboard - Data Extracts - League Tables</w:t>
            </w:r>
          </w:p>
        </w:tc>
        <w:tc>
          <w:tcPr>
            <w:tcW w:w="1373" w:type="dxa"/>
            <w:hideMark/>
          </w:tcPr>
          <w:p w14:paraId="11943007" w14:textId="77777777" w:rsidR="00CA52BF" w:rsidRPr="006F4780" w:rsidRDefault="00CA52BF" w:rsidP="00CA52BF">
            <w:pPr>
              <w:spacing w:before="240"/>
              <w:rPr>
                <w:rFonts w:cstheme="minorHAnsi"/>
              </w:rPr>
            </w:pPr>
            <w:r w:rsidRPr="006F4780">
              <w:rPr>
                <w:rFonts w:cstheme="minorHAnsi"/>
              </w:rPr>
              <w:t xml:space="preserve">4th </w:t>
            </w:r>
          </w:p>
        </w:tc>
        <w:tc>
          <w:tcPr>
            <w:tcW w:w="1413" w:type="dxa"/>
            <w:noWrap/>
            <w:hideMark/>
          </w:tcPr>
          <w:p w14:paraId="7D032B5F"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7DA3C981" w14:textId="77777777" w:rsidR="00CA52BF" w:rsidRPr="006F4780" w:rsidRDefault="00CA52BF" w:rsidP="00CA52BF">
            <w:pPr>
              <w:spacing w:before="240"/>
              <w:rPr>
                <w:rFonts w:cstheme="minorHAnsi"/>
              </w:rPr>
            </w:pPr>
            <w:r w:rsidRPr="006F4780">
              <w:rPr>
                <w:rFonts w:cstheme="minorHAnsi"/>
              </w:rPr>
              <w:t>Allows to create ranking report base on specific numbers of stakeholders for A&amp;S business where the FDO signing details have been received and attached to the respective Binding Authority Contracts/UMRs.</w:t>
            </w:r>
          </w:p>
        </w:tc>
      </w:tr>
      <w:tr w:rsidR="00CA52BF" w:rsidRPr="006F4780" w14:paraId="19FFF9CD" w14:textId="77777777" w:rsidTr="006F4780">
        <w:trPr>
          <w:trHeight w:val="2085"/>
        </w:trPr>
        <w:tc>
          <w:tcPr>
            <w:tcW w:w="2738" w:type="dxa"/>
            <w:hideMark/>
          </w:tcPr>
          <w:p w14:paraId="586F3CC6" w14:textId="77777777" w:rsidR="00CA52BF" w:rsidRPr="006F4780" w:rsidRDefault="00CA52BF" w:rsidP="00CA52BF">
            <w:pPr>
              <w:spacing w:before="240"/>
              <w:rPr>
                <w:rFonts w:cstheme="minorHAnsi"/>
              </w:rPr>
            </w:pPr>
            <w:r w:rsidRPr="006F4780">
              <w:rPr>
                <w:rFonts w:cstheme="minorHAnsi"/>
              </w:rPr>
              <w:t>Executive Dashboard - Data Extracts - Stakeholder Relationships</w:t>
            </w:r>
          </w:p>
        </w:tc>
        <w:tc>
          <w:tcPr>
            <w:tcW w:w="1373" w:type="dxa"/>
            <w:hideMark/>
          </w:tcPr>
          <w:p w14:paraId="3E7B4B53" w14:textId="77777777" w:rsidR="00CA52BF" w:rsidRPr="006F4780" w:rsidRDefault="00CA52BF" w:rsidP="00CA52BF">
            <w:pPr>
              <w:spacing w:before="240"/>
              <w:rPr>
                <w:rFonts w:cstheme="minorHAnsi"/>
              </w:rPr>
            </w:pPr>
            <w:r w:rsidRPr="006F4780">
              <w:rPr>
                <w:rFonts w:cstheme="minorHAnsi"/>
              </w:rPr>
              <w:t xml:space="preserve">4th </w:t>
            </w:r>
          </w:p>
        </w:tc>
        <w:tc>
          <w:tcPr>
            <w:tcW w:w="1413" w:type="dxa"/>
            <w:noWrap/>
            <w:hideMark/>
          </w:tcPr>
          <w:p w14:paraId="1B058F5D"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3F599EF4" w14:textId="53479CB7" w:rsidR="00CA52BF" w:rsidRPr="006F4780" w:rsidRDefault="00CA52BF" w:rsidP="00CA52BF">
            <w:pPr>
              <w:spacing w:before="240"/>
              <w:rPr>
                <w:rFonts w:cstheme="minorHAnsi"/>
              </w:rPr>
            </w:pPr>
            <w:r w:rsidRPr="006F4780">
              <w:rPr>
                <w:rFonts w:cstheme="minorHAnsi"/>
              </w:rPr>
              <w:t>Allows users to determine which Lloyd's Brokers are doing business with which Syndicates or which Coverholders (and vice versa) and how much business is being conducted which each pair for A&amp;S business where the FDO signing details have been received and attached to the respective Binding Authority Contracts/UMRs.</w:t>
            </w:r>
          </w:p>
        </w:tc>
      </w:tr>
      <w:tr w:rsidR="00CA52BF" w:rsidRPr="006F4780" w14:paraId="08F43005" w14:textId="77777777" w:rsidTr="006F4780">
        <w:trPr>
          <w:trHeight w:val="4335"/>
        </w:trPr>
        <w:tc>
          <w:tcPr>
            <w:tcW w:w="2738" w:type="dxa"/>
            <w:vMerge w:val="restart"/>
            <w:hideMark/>
          </w:tcPr>
          <w:p w14:paraId="0C1EDA82" w14:textId="77777777" w:rsidR="00CA52BF" w:rsidRPr="006F4780" w:rsidRDefault="00CA52BF" w:rsidP="00CA52BF">
            <w:pPr>
              <w:spacing w:before="240"/>
              <w:rPr>
                <w:rFonts w:cstheme="minorHAnsi"/>
              </w:rPr>
            </w:pPr>
            <w:r w:rsidRPr="006F4780">
              <w:rPr>
                <w:rFonts w:cstheme="minorHAnsi"/>
              </w:rPr>
              <w:lastRenderedPageBreak/>
              <w:t>Executive Dashboard - GWP / Incurred Claims</w:t>
            </w:r>
            <w:r w:rsidRPr="006F4780">
              <w:rPr>
                <w:rFonts w:cstheme="minorHAnsi"/>
              </w:rPr>
              <w:br/>
              <w:t>- Risk Code Grouping</w:t>
            </w:r>
            <w:r w:rsidRPr="006F4780">
              <w:rPr>
                <w:rFonts w:cstheme="minorHAnsi"/>
              </w:rPr>
              <w:br/>
              <w:t>- Risk Province/ Region</w:t>
            </w:r>
            <w:r w:rsidRPr="006F4780">
              <w:rPr>
                <w:rFonts w:cstheme="minorHAnsi"/>
              </w:rPr>
              <w:br/>
              <w:t>- Year of Account</w:t>
            </w:r>
            <w:r w:rsidRPr="006F4780">
              <w:rPr>
                <w:rFonts w:cstheme="minorHAnsi"/>
              </w:rPr>
              <w:br/>
            </w:r>
            <w:r w:rsidRPr="006F4780">
              <w:rPr>
                <w:rFonts w:cstheme="minorHAnsi"/>
              </w:rPr>
              <w:br/>
            </w:r>
            <w:r w:rsidRPr="006F4780">
              <w:rPr>
                <w:rFonts w:cstheme="minorHAnsi"/>
              </w:rPr>
              <w:br/>
              <w:t>Executive Dashboard - League Tables</w:t>
            </w:r>
            <w:r w:rsidRPr="006F4780">
              <w:rPr>
                <w:rFonts w:cstheme="minorHAnsi"/>
              </w:rPr>
              <w:br/>
              <w:t>- Top League Tables</w:t>
            </w:r>
            <w:r w:rsidRPr="006F4780">
              <w:rPr>
                <w:rFonts w:cstheme="minorHAnsi"/>
              </w:rPr>
              <w:br/>
            </w:r>
            <w:r w:rsidRPr="006F4780">
              <w:rPr>
                <w:rFonts w:cstheme="minorHAnsi"/>
              </w:rPr>
              <w:br/>
            </w:r>
            <w:r w:rsidRPr="006F4780">
              <w:rPr>
                <w:rFonts w:cstheme="minorHAnsi"/>
              </w:rPr>
              <w:br/>
              <w:t>Executive Dashboard - Incurred Claims Only</w:t>
            </w:r>
            <w:r w:rsidRPr="006F4780">
              <w:rPr>
                <w:rFonts w:cstheme="minorHAnsi"/>
              </w:rPr>
              <w:br/>
              <w:t>- Risk Code Grouping</w:t>
            </w:r>
            <w:r w:rsidRPr="006F4780">
              <w:rPr>
                <w:rFonts w:cstheme="minorHAnsi"/>
              </w:rPr>
              <w:br/>
              <w:t>- Risk Province/Region</w:t>
            </w:r>
            <w:r w:rsidRPr="006F4780">
              <w:rPr>
                <w:rFonts w:cstheme="minorHAnsi"/>
              </w:rPr>
              <w:br/>
              <w:t>- Year of Account</w:t>
            </w:r>
          </w:p>
        </w:tc>
        <w:tc>
          <w:tcPr>
            <w:tcW w:w="1373" w:type="dxa"/>
            <w:vMerge w:val="restart"/>
            <w:hideMark/>
          </w:tcPr>
          <w:p w14:paraId="16B16713" w14:textId="77777777" w:rsidR="00CA52BF" w:rsidRPr="006F4780" w:rsidRDefault="00CA52BF" w:rsidP="00CA52BF">
            <w:pPr>
              <w:spacing w:before="240"/>
              <w:rPr>
                <w:rFonts w:cstheme="minorHAnsi"/>
              </w:rPr>
            </w:pPr>
            <w:r w:rsidRPr="006F4780">
              <w:rPr>
                <w:rFonts w:cstheme="minorHAnsi"/>
              </w:rPr>
              <w:t xml:space="preserve">4th </w:t>
            </w:r>
          </w:p>
        </w:tc>
        <w:tc>
          <w:tcPr>
            <w:tcW w:w="1413" w:type="dxa"/>
            <w:vMerge w:val="restart"/>
            <w:noWrap/>
            <w:hideMark/>
          </w:tcPr>
          <w:p w14:paraId="2ECC0012" w14:textId="77777777" w:rsidR="00CA52BF" w:rsidRPr="006F4780" w:rsidRDefault="00CA52BF" w:rsidP="00CA52BF">
            <w:pPr>
              <w:spacing w:before="240"/>
              <w:rPr>
                <w:rFonts w:cstheme="minorHAnsi"/>
              </w:rPr>
            </w:pPr>
            <w:r w:rsidRPr="006F4780">
              <w:rPr>
                <w:rFonts w:cstheme="minorHAnsi"/>
              </w:rPr>
              <w:t>Dashboard</w:t>
            </w:r>
          </w:p>
        </w:tc>
        <w:tc>
          <w:tcPr>
            <w:tcW w:w="3604" w:type="dxa"/>
            <w:vMerge w:val="restart"/>
            <w:hideMark/>
          </w:tcPr>
          <w:p w14:paraId="632B86E8" w14:textId="53E86293" w:rsidR="00CA52BF" w:rsidRPr="006F4780" w:rsidRDefault="00CA52BF" w:rsidP="00CA52BF">
            <w:pPr>
              <w:spacing w:before="240"/>
              <w:rPr>
                <w:rFonts w:cstheme="minorHAnsi"/>
              </w:rPr>
            </w:pPr>
            <w:r w:rsidRPr="006F4780">
              <w:rPr>
                <w:rFonts w:cstheme="minorHAnsi"/>
              </w:rPr>
              <w:t xml:space="preserve">Provides the ability to obtain a visual representation of high-level metrics on premiums and claims by Year of Account, Risk Province/Region, Line of Business and Risk Code Grouping across a book of business, to obtain a high-level view of its performance (for Binding Authorities classified “Lineage Accounting &amp; Settlement” where FDO details have been received and applied by Lloyd’s Canada). </w:t>
            </w:r>
            <w:r w:rsidRPr="006F4780">
              <w:rPr>
                <w:rFonts w:cstheme="minorHAnsi"/>
              </w:rPr>
              <w:br/>
            </w:r>
            <w:r w:rsidRPr="006F4780">
              <w:rPr>
                <w:rFonts w:cstheme="minorHAnsi"/>
              </w:rPr>
              <w:br/>
              <w:t>The Information is broken down into 3 categories of Business Analysis:</w:t>
            </w:r>
            <w:r w:rsidRPr="006F4780">
              <w:rPr>
                <w:rFonts w:cstheme="minorHAnsi"/>
              </w:rPr>
              <w:br/>
            </w:r>
            <w:r w:rsidRPr="006F4780">
              <w:rPr>
                <w:rFonts w:cstheme="minorHAnsi"/>
              </w:rPr>
              <w:br/>
            </w:r>
            <w:r w:rsidRPr="006F4780">
              <w:rPr>
                <w:rFonts w:cstheme="minorHAnsi"/>
                <w:b/>
                <w:bCs/>
              </w:rPr>
              <w:t>Gross Written Premium / Incurred Claims</w:t>
            </w:r>
            <w:r w:rsidRPr="006F4780">
              <w:rPr>
                <w:rFonts w:cstheme="minorHAnsi"/>
              </w:rPr>
              <w:t xml:space="preserve"> - provides a choice of paths for the breakdown of Gross Written Premium and Incurred Claims through which to obtain a deeper drill down. </w:t>
            </w:r>
            <w:r w:rsidRPr="006F4780">
              <w:rPr>
                <w:rFonts w:cstheme="minorHAnsi"/>
              </w:rPr>
              <w:br/>
            </w:r>
            <w:r w:rsidRPr="006F4780">
              <w:rPr>
                <w:rFonts w:cstheme="minorHAnsi"/>
                <w:b/>
                <w:bCs/>
              </w:rPr>
              <w:t xml:space="preserve">Incurred Claims Only </w:t>
            </w:r>
            <w:r w:rsidRPr="006F4780">
              <w:rPr>
                <w:rFonts w:cstheme="minorHAnsi"/>
              </w:rPr>
              <w:t xml:space="preserve">- provides the breakdown of reserves and paid losses split by the 3 components: indemnity, expenses, and fees. </w:t>
            </w:r>
            <w:r w:rsidRPr="006F4780">
              <w:rPr>
                <w:rFonts w:cstheme="minorHAnsi"/>
              </w:rPr>
              <w:br/>
            </w:r>
            <w:r w:rsidRPr="006F4780">
              <w:rPr>
                <w:rFonts w:cstheme="minorHAnsi"/>
                <w:b/>
                <w:bCs/>
              </w:rPr>
              <w:t>Leagues Tables</w:t>
            </w:r>
            <w:r w:rsidRPr="006F4780">
              <w:rPr>
                <w:rFonts w:cstheme="minorHAnsi"/>
              </w:rPr>
              <w:t xml:space="preserve"> - these tables rank by Gross Written Premium the Lloyd's Brokers or Syndicates conducting business through.</w:t>
            </w:r>
          </w:p>
        </w:tc>
      </w:tr>
      <w:tr w:rsidR="00CA52BF" w:rsidRPr="006F4780" w14:paraId="251B5E30" w14:textId="77777777" w:rsidTr="006F4780">
        <w:trPr>
          <w:trHeight w:val="450"/>
        </w:trPr>
        <w:tc>
          <w:tcPr>
            <w:tcW w:w="2738" w:type="dxa"/>
            <w:vMerge/>
            <w:hideMark/>
          </w:tcPr>
          <w:p w14:paraId="1AE2E2B2" w14:textId="77777777" w:rsidR="00CA52BF" w:rsidRPr="006F4780" w:rsidRDefault="00CA52BF" w:rsidP="00CA52BF">
            <w:pPr>
              <w:spacing w:before="240"/>
              <w:rPr>
                <w:rFonts w:cstheme="minorHAnsi"/>
              </w:rPr>
            </w:pPr>
          </w:p>
        </w:tc>
        <w:tc>
          <w:tcPr>
            <w:tcW w:w="1373" w:type="dxa"/>
            <w:vMerge/>
            <w:hideMark/>
          </w:tcPr>
          <w:p w14:paraId="0D1F86F5" w14:textId="77777777" w:rsidR="00CA52BF" w:rsidRPr="006F4780" w:rsidRDefault="00CA52BF" w:rsidP="00CA52BF">
            <w:pPr>
              <w:spacing w:before="240"/>
              <w:rPr>
                <w:rFonts w:cstheme="minorHAnsi"/>
              </w:rPr>
            </w:pPr>
          </w:p>
        </w:tc>
        <w:tc>
          <w:tcPr>
            <w:tcW w:w="1413" w:type="dxa"/>
            <w:vMerge/>
            <w:hideMark/>
          </w:tcPr>
          <w:p w14:paraId="0D8912A3" w14:textId="77777777" w:rsidR="00CA52BF" w:rsidRPr="006F4780" w:rsidRDefault="00CA52BF" w:rsidP="00CA52BF">
            <w:pPr>
              <w:spacing w:before="240"/>
              <w:rPr>
                <w:rFonts w:cstheme="minorHAnsi"/>
              </w:rPr>
            </w:pPr>
          </w:p>
        </w:tc>
        <w:tc>
          <w:tcPr>
            <w:tcW w:w="3604" w:type="dxa"/>
            <w:vMerge/>
            <w:hideMark/>
          </w:tcPr>
          <w:p w14:paraId="5E9CC271" w14:textId="77777777" w:rsidR="00CA52BF" w:rsidRPr="006F4780" w:rsidRDefault="00CA52BF" w:rsidP="00CA52BF">
            <w:pPr>
              <w:spacing w:before="240"/>
              <w:rPr>
                <w:rFonts w:cstheme="minorHAnsi"/>
              </w:rPr>
            </w:pPr>
          </w:p>
        </w:tc>
      </w:tr>
      <w:tr w:rsidR="00CA52BF" w:rsidRPr="006F4780" w14:paraId="102903A8" w14:textId="77777777" w:rsidTr="006F4780">
        <w:trPr>
          <w:trHeight w:val="450"/>
        </w:trPr>
        <w:tc>
          <w:tcPr>
            <w:tcW w:w="2738" w:type="dxa"/>
            <w:vMerge/>
            <w:hideMark/>
          </w:tcPr>
          <w:p w14:paraId="25F92956" w14:textId="77777777" w:rsidR="00CA52BF" w:rsidRPr="006F4780" w:rsidRDefault="00CA52BF" w:rsidP="00CA52BF">
            <w:pPr>
              <w:spacing w:before="240"/>
              <w:rPr>
                <w:rFonts w:cstheme="minorHAnsi"/>
              </w:rPr>
            </w:pPr>
          </w:p>
        </w:tc>
        <w:tc>
          <w:tcPr>
            <w:tcW w:w="1373" w:type="dxa"/>
            <w:vMerge/>
            <w:hideMark/>
          </w:tcPr>
          <w:p w14:paraId="62B3902C" w14:textId="77777777" w:rsidR="00CA52BF" w:rsidRPr="006F4780" w:rsidRDefault="00CA52BF" w:rsidP="00CA52BF">
            <w:pPr>
              <w:spacing w:before="240"/>
              <w:rPr>
                <w:rFonts w:cstheme="minorHAnsi"/>
              </w:rPr>
            </w:pPr>
          </w:p>
        </w:tc>
        <w:tc>
          <w:tcPr>
            <w:tcW w:w="1413" w:type="dxa"/>
            <w:vMerge/>
            <w:hideMark/>
          </w:tcPr>
          <w:p w14:paraId="1DAED036" w14:textId="77777777" w:rsidR="00CA52BF" w:rsidRPr="006F4780" w:rsidRDefault="00CA52BF" w:rsidP="00CA52BF">
            <w:pPr>
              <w:spacing w:before="240"/>
              <w:rPr>
                <w:rFonts w:cstheme="minorHAnsi"/>
              </w:rPr>
            </w:pPr>
          </w:p>
        </w:tc>
        <w:tc>
          <w:tcPr>
            <w:tcW w:w="3604" w:type="dxa"/>
            <w:vMerge/>
            <w:hideMark/>
          </w:tcPr>
          <w:p w14:paraId="5676747E" w14:textId="77777777" w:rsidR="00CA52BF" w:rsidRPr="006F4780" w:rsidRDefault="00CA52BF" w:rsidP="00CA52BF">
            <w:pPr>
              <w:spacing w:before="240"/>
              <w:rPr>
                <w:rFonts w:cstheme="minorHAnsi"/>
              </w:rPr>
            </w:pPr>
          </w:p>
        </w:tc>
      </w:tr>
      <w:tr w:rsidR="00CA52BF" w:rsidRPr="006F4780" w14:paraId="01B29BFC" w14:textId="77777777" w:rsidTr="006F4780">
        <w:trPr>
          <w:trHeight w:val="450"/>
        </w:trPr>
        <w:tc>
          <w:tcPr>
            <w:tcW w:w="2738" w:type="dxa"/>
            <w:vMerge/>
            <w:hideMark/>
          </w:tcPr>
          <w:p w14:paraId="107DF7CF" w14:textId="77777777" w:rsidR="00CA52BF" w:rsidRPr="006F4780" w:rsidRDefault="00CA52BF" w:rsidP="00CA52BF">
            <w:pPr>
              <w:spacing w:before="240"/>
              <w:rPr>
                <w:rFonts w:cstheme="minorHAnsi"/>
              </w:rPr>
            </w:pPr>
          </w:p>
        </w:tc>
        <w:tc>
          <w:tcPr>
            <w:tcW w:w="1373" w:type="dxa"/>
            <w:vMerge/>
            <w:hideMark/>
          </w:tcPr>
          <w:p w14:paraId="4B988761" w14:textId="77777777" w:rsidR="00CA52BF" w:rsidRPr="006F4780" w:rsidRDefault="00CA52BF" w:rsidP="00CA52BF">
            <w:pPr>
              <w:spacing w:before="240"/>
              <w:rPr>
                <w:rFonts w:cstheme="minorHAnsi"/>
              </w:rPr>
            </w:pPr>
          </w:p>
        </w:tc>
        <w:tc>
          <w:tcPr>
            <w:tcW w:w="1413" w:type="dxa"/>
            <w:vMerge/>
            <w:hideMark/>
          </w:tcPr>
          <w:p w14:paraId="358E8382" w14:textId="77777777" w:rsidR="00CA52BF" w:rsidRPr="006F4780" w:rsidRDefault="00CA52BF" w:rsidP="00CA52BF">
            <w:pPr>
              <w:spacing w:before="240"/>
              <w:rPr>
                <w:rFonts w:cstheme="minorHAnsi"/>
              </w:rPr>
            </w:pPr>
          </w:p>
        </w:tc>
        <w:tc>
          <w:tcPr>
            <w:tcW w:w="3604" w:type="dxa"/>
            <w:vMerge/>
            <w:hideMark/>
          </w:tcPr>
          <w:p w14:paraId="3757E1F3" w14:textId="77777777" w:rsidR="00CA52BF" w:rsidRPr="006F4780" w:rsidRDefault="00CA52BF" w:rsidP="00CA52BF">
            <w:pPr>
              <w:spacing w:before="240"/>
              <w:rPr>
                <w:rFonts w:cstheme="minorHAnsi"/>
              </w:rPr>
            </w:pPr>
          </w:p>
        </w:tc>
      </w:tr>
      <w:tr w:rsidR="00CA52BF" w:rsidRPr="006F4780" w14:paraId="27F492A9" w14:textId="77777777" w:rsidTr="006F4780">
        <w:trPr>
          <w:trHeight w:val="450"/>
        </w:trPr>
        <w:tc>
          <w:tcPr>
            <w:tcW w:w="2738" w:type="dxa"/>
            <w:vMerge/>
            <w:hideMark/>
          </w:tcPr>
          <w:p w14:paraId="3C16D48F" w14:textId="77777777" w:rsidR="00CA52BF" w:rsidRPr="006F4780" w:rsidRDefault="00CA52BF" w:rsidP="00CA52BF">
            <w:pPr>
              <w:spacing w:before="240"/>
              <w:rPr>
                <w:rFonts w:cstheme="minorHAnsi"/>
              </w:rPr>
            </w:pPr>
          </w:p>
        </w:tc>
        <w:tc>
          <w:tcPr>
            <w:tcW w:w="1373" w:type="dxa"/>
            <w:vMerge/>
            <w:hideMark/>
          </w:tcPr>
          <w:p w14:paraId="52E54CC4" w14:textId="77777777" w:rsidR="00CA52BF" w:rsidRPr="006F4780" w:rsidRDefault="00CA52BF" w:rsidP="00CA52BF">
            <w:pPr>
              <w:spacing w:before="240"/>
              <w:rPr>
                <w:rFonts w:cstheme="minorHAnsi"/>
              </w:rPr>
            </w:pPr>
          </w:p>
        </w:tc>
        <w:tc>
          <w:tcPr>
            <w:tcW w:w="1413" w:type="dxa"/>
            <w:vMerge/>
            <w:hideMark/>
          </w:tcPr>
          <w:p w14:paraId="41BECB60" w14:textId="77777777" w:rsidR="00CA52BF" w:rsidRPr="006F4780" w:rsidRDefault="00CA52BF" w:rsidP="00CA52BF">
            <w:pPr>
              <w:spacing w:before="240"/>
              <w:rPr>
                <w:rFonts w:cstheme="minorHAnsi"/>
              </w:rPr>
            </w:pPr>
          </w:p>
        </w:tc>
        <w:tc>
          <w:tcPr>
            <w:tcW w:w="3604" w:type="dxa"/>
            <w:vMerge/>
            <w:hideMark/>
          </w:tcPr>
          <w:p w14:paraId="4F8D095A" w14:textId="77777777" w:rsidR="00CA52BF" w:rsidRPr="006F4780" w:rsidRDefault="00CA52BF" w:rsidP="00CA52BF">
            <w:pPr>
              <w:spacing w:before="240"/>
              <w:rPr>
                <w:rFonts w:cstheme="minorHAnsi"/>
              </w:rPr>
            </w:pPr>
          </w:p>
        </w:tc>
      </w:tr>
      <w:tr w:rsidR="00CA52BF" w:rsidRPr="006F4780" w14:paraId="2507348F" w14:textId="77777777" w:rsidTr="006F4780">
        <w:trPr>
          <w:trHeight w:val="450"/>
        </w:trPr>
        <w:tc>
          <w:tcPr>
            <w:tcW w:w="2738" w:type="dxa"/>
            <w:vMerge/>
            <w:hideMark/>
          </w:tcPr>
          <w:p w14:paraId="6CAB2326" w14:textId="77777777" w:rsidR="00CA52BF" w:rsidRPr="006F4780" w:rsidRDefault="00CA52BF" w:rsidP="00CA52BF">
            <w:pPr>
              <w:spacing w:before="240"/>
              <w:rPr>
                <w:rFonts w:cstheme="minorHAnsi"/>
              </w:rPr>
            </w:pPr>
          </w:p>
        </w:tc>
        <w:tc>
          <w:tcPr>
            <w:tcW w:w="1373" w:type="dxa"/>
            <w:vMerge/>
            <w:hideMark/>
          </w:tcPr>
          <w:p w14:paraId="7C706D20" w14:textId="77777777" w:rsidR="00CA52BF" w:rsidRPr="006F4780" w:rsidRDefault="00CA52BF" w:rsidP="00CA52BF">
            <w:pPr>
              <w:spacing w:before="240"/>
              <w:rPr>
                <w:rFonts w:cstheme="minorHAnsi"/>
              </w:rPr>
            </w:pPr>
          </w:p>
        </w:tc>
        <w:tc>
          <w:tcPr>
            <w:tcW w:w="1413" w:type="dxa"/>
            <w:vMerge/>
            <w:hideMark/>
          </w:tcPr>
          <w:p w14:paraId="00175C71" w14:textId="77777777" w:rsidR="00CA52BF" w:rsidRPr="006F4780" w:rsidRDefault="00CA52BF" w:rsidP="00CA52BF">
            <w:pPr>
              <w:spacing w:before="240"/>
              <w:rPr>
                <w:rFonts w:cstheme="minorHAnsi"/>
              </w:rPr>
            </w:pPr>
          </w:p>
        </w:tc>
        <w:tc>
          <w:tcPr>
            <w:tcW w:w="3604" w:type="dxa"/>
            <w:vMerge/>
            <w:hideMark/>
          </w:tcPr>
          <w:p w14:paraId="1B41F940" w14:textId="77777777" w:rsidR="00CA52BF" w:rsidRPr="006F4780" w:rsidRDefault="00CA52BF" w:rsidP="00CA52BF">
            <w:pPr>
              <w:spacing w:before="240"/>
              <w:rPr>
                <w:rFonts w:cstheme="minorHAnsi"/>
              </w:rPr>
            </w:pPr>
          </w:p>
        </w:tc>
      </w:tr>
      <w:tr w:rsidR="00CA52BF" w:rsidRPr="006F4780" w14:paraId="2E787CDB" w14:textId="77777777" w:rsidTr="006F4780">
        <w:trPr>
          <w:trHeight w:val="450"/>
        </w:trPr>
        <w:tc>
          <w:tcPr>
            <w:tcW w:w="2738" w:type="dxa"/>
            <w:vMerge/>
            <w:hideMark/>
          </w:tcPr>
          <w:p w14:paraId="20782B1E" w14:textId="77777777" w:rsidR="00CA52BF" w:rsidRPr="006F4780" w:rsidRDefault="00CA52BF" w:rsidP="00CA52BF">
            <w:pPr>
              <w:spacing w:before="240"/>
              <w:rPr>
                <w:rFonts w:cstheme="minorHAnsi"/>
              </w:rPr>
            </w:pPr>
          </w:p>
        </w:tc>
        <w:tc>
          <w:tcPr>
            <w:tcW w:w="1373" w:type="dxa"/>
            <w:vMerge/>
            <w:hideMark/>
          </w:tcPr>
          <w:p w14:paraId="3D1AD738" w14:textId="77777777" w:rsidR="00CA52BF" w:rsidRPr="006F4780" w:rsidRDefault="00CA52BF" w:rsidP="00CA52BF">
            <w:pPr>
              <w:spacing w:before="240"/>
              <w:rPr>
                <w:rFonts w:cstheme="minorHAnsi"/>
              </w:rPr>
            </w:pPr>
          </w:p>
        </w:tc>
        <w:tc>
          <w:tcPr>
            <w:tcW w:w="1413" w:type="dxa"/>
            <w:vMerge/>
            <w:hideMark/>
          </w:tcPr>
          <w:p w14:paraId="49BF5776" w14:textId="77777777" w:rsidR="00CA52BF" w:rsidRPr="006F4780" w:rsidRDefault="00CA52BF" w:rsidP="00CA52BF">
            <w:pPr>
              <w:spacing w:before="240"/>
              <w:rPr>
                <w:rFonts w:cstheme="minorHAnsi"/>
              </w:rPr>
            </w:pPr>
          </w:p>
        </w:tc>
        <w:tc>
          <w:tcPr>
            <w:tcW w:w="3604" w:type="dxa"/>
            <w:vMerge/>
            <w:hideMark/>
          </w:tcPr>
          <w:p w14:paraId="4C8B14B8" w14:textId="77777777" w:rsidR="00CA52BF" w:rsidRPr="006F4780" w:rsidRDefault="00CA52BF" w:rsidP="00CA52BF">
            <w:pPr>
              <w:spacing w:before="240"/>
              <w:rPr>
                <w:rFonts w:cstheme="minorHAnsi"/>
              </w:rPr>
            </w:pPr>
          </w:p>
        </w:tc>
      </w:tr>
      <w:tr w:rsidR="00CA52BF" w:rsidRPr="006F4780" w14:paraId="440669B1" w14:textId="77777777" w:rsidTr="006F4780">
        <w:trPr>
          <w:trHeight w:val="450"/>
        </w:trPr>
        <w:tc>
          <w:tcPr>
            <w:tcW w:w="2738" w:type="dxa"/>
            <w:vMerge/>
            <w:hideMark/>
          </w:tcPr>
          <w:p w14:paraId="5F5AAD95" w14:textId="77777777" w:rsidR="00CA52BF" w:rsidRPr="006F4780" w:rsidRDefault="00CA52BF" w:rsidP="00CA52BF">
            <w:pPr>
              <w:spacing w:before="240"/>
              <w:rPr>
                <w:rFonts w:cstheme="minorHAnsi"/>
              </w:rPr>
            </w:pPr>
          </w:p>
        </w:tc>
        <w:tc>
          <w:tcPr>
            <w:tcW w:w="1373" w:type="dxa"/>
            <w:vMerge/>
            <w:hideMark/>
          </w:tcPr>
          <w:p w14:paraId="34C206AB" w14:textId="77777777" w:rsidR="00CA52BF" w:rsidRPr="006F4780" w:rsidRDefault="00CA52BF" w:rsidP="00CA52BF">
            <w:pPr>
              <w:spacing w:before="240"/>
              <w:rPr>
                <w:rFonts w:cstheme="minorHAnsi"/>
              </w:rPr>
            </w:pPr>
          </w:p>
        </w:tc>
        <w:tc>
          <w:tcPr>
            <w:tcW w:w="1413" w:type="dxa"/>
            <w:vMerge/>
            <w:hideMark/>
          </w:tcPr>
          <w:p w14:paraId="1286AA49" w14:textId="77777777" w:rsidR="00CA52BF" w:rsidRPr="006F4780" w:rsidRDefault="00CA52BF" w:rsidP="00CA52BF">
            <w:pPr>
              <w:spacing w:before="240"/>
              <w:rPr>
                <w:rFonts w:cstheme="minorHAnsi"/>
              </w:rPr>
            </w:pPr>
          </w:p>
        </w:tc>
        <w:tc>
          <w:tcPr>
            <w:tcW w:w="3604" w:type="dxa"/>
            <w:vMerge/>
            <w:hideMark/>
          </w:tcPr>
          <w:p w14:paraId="533F7607" w14:textId="77777777" w:rsidR="00CA52BF" w:rsidRPr="006F4780" w:rsidRDefault="00CA52BF" w:rsidP="00CA52BF">
            <w:pPr>
              <w:spacing w:before="240"/>
              <w:rPr>
                <w:rFonts w:cstheme="minorHAnsi"/>
              </w:rPr>
            </w:pPr>
          </w:p>
        </w:tc>
      </w:tr>
      <w:tr w:rsidR="00CA52BF" w:rsidRPr="006F4780" w14:paraId="7B482A87" w14:textId="77777777" w:rsidTr="006F4780">
        <w:trPr>
          <w:trHeight w:val="450"/>
        </w:trPr>
        <w:tc>
          <w:tcPr>
            <w:tcW w:w="2738" w:type="dxa"/>
            <w:vMerge/>
            <w:hideMark/>
          </w:tcPr>
          <w:p w14:paraId="45117CF9" w14:textId="77777777" w:rsidR="00CA52BF" w:rsidRPr="006F4780" w:rsidRDefault="00CA52BF" w:rsidP="00CA52BF">
            <w:pPr>
              <w:spacing w:before="240"/>
              <w:rPr>
                <w:rFonts w:cstheme="minorHAnsi"/>
              </w:rPr>
            </w:pPr>
          </w:p>
        </w:tc>
        <w:tc>
          <w:tcPr>
            <w:tcW w:w="1373" w:type="dxa"/>
            <w:vMerge/>
            <w:hideMark/>
          </w:tcPr>
          <w:p w14:paraId="4AF435D9" w14:textId="77777777" w:rsidR="00CA52BF" w:rsidRPr="006F4780" w:rsidRDefault="00CA52BF" w:rsidP="00CA52BF">
            <w:pPr>
              <w:spacing w:before="240"/>
              <w:rPr>
                <w:rFonts w:cstheme="minorHAnsi"/>
              </w:rPr>
            </w:pPr>
          </w:p>
        </w:tc>
        <w:tc>
          <w:tcPr>
            <w:tcW w:w="1413" w:type="dxa"/>
            <w:vMerge/>
            <w:hideMark/>
          </w:tcPr>
          <w:p w14:paraId="15C2940F" w14:textId="77777777" w:rsidR="00CA52BF" w:rsidRPr="006F4780" w:rsidRDefault="00CA52BF" w:rsidP="00CA52BF">
            <w:pPr>
              <w:spacing w:before="240"/>
              <w:rPr>
                <w:rFonts w:cstheme="minorHAnsi"/>
              </w:rPr>
            </w:pPr>
          </w:p>
        </w:tc>
        <w:tc>
          <w:tcPr>
            <w:tcW w:w="3604" w:type="dxa"/>
            <w:vMerge/>
            <w:hideMark/>
          </w:tcPr>
          <w:p w14:paraId="64B6CF33" w14:textId="77777777" w:rsidR="00CA52BF" w:rsidRPr="006F4780" w:rsidRDefault="00CA52BF" w:rsidP="00CA52BF">
            <w:pPr>
              <w:spacing w:before="240"/>
              <w:rPr>
                <w:rFonts w:cstheme="minorHAnsi"/>
              </w:rPr>
            </w:pPr>
          </w:p>
        </w:tc>
      </w:tr>
      <w:tr w:rsidR="00CA52BF" w:rsidRPr="006F4780" w14:paraId="10467DD8" w14:textId="77777777" w:rsidTr="006F4780">
        <w:trPr>
          <w:trHeight w:val="450"/>
        </w:trPr>
        <w:tc>
          <w:tcPr>
            <w:tcW w:w="2738" w:type="dxa"/>
            <w:vMerge/>
            <w:hideMark/>
          </w:tcPr>
          <w:p w14:paraId="1A9477EE" w14:textId="77777777" w:rsidR="00CA52BF" w:rsidRPr="006F4780" w:rsidRDefault="00CA52BF" w:rsidP="00CA52BF">
            <w:pPr>
              <w:spacing w:before="240"/>
              <w:rPr>
                <w:rFonts w:cstheme="minorHAnsi"/>
              </w:rPr>
            </w:pPr>
          </w:p>
        </w:tc>
        <w:tc>
          <w:tcPr>
            <w:tcW w:w="1373" w:type="dxa"/>
            <w:vMerge/>
            <w:hideMark/>
          </w:tcPr>
          <w:p w14:paraId="4CC994BE" w14:textId="77777777" w:rsidR="00CA52BF" w:rsidRPr="006F4780" w:rsidRDefault="00CA52BF" w:rsidP="00CA52BF">
            <w:pPr>
              <w:spacing w:before="240"/>
              <w:rPr>
                <w:rFonts w:cstheme="minorHAnsi"/>
              </w:rPr>
            </w:pPr>
          </w:p>
        </w:tc>
        <w:tc>
          <w:tcPr>
            <w:tcW w:w="1413" w:type="dxa"/>
            <w:vMerge/>
            <w:hideMark/>
          </w:tcPr>
          <w:p w14:paraId="6C5C0819" w14:textId="77777777" w:rsidR="00CA52BF" w:rsidRPr="006F4780" w:rsidRDefault="00CA52BF" w:rsidP="00CA52BF">
            <w:pPr>
              <w:spacing w:before="240"/>
              <w:rPr>
                <w:rFonts w:cstheme="minorHAnsi"/>
              </w:rPr>
            </w:pPr>
          </w:p>
        </w:tc>
        <w:tc>
          <w:tcPr>
            <w:tcW w:w="3604" w:type="dxa"/>
            <w:vMerge/>
            <w:hideMark/>
          </w:tcPr>
          <w:p w14:paraId="21AFA770" w14:textId="77777777" w:rsidR="00CA52BF" w:rsidRPr="006F4780" w:rsidRDefault="00CA52BF" w:rsidP="00CA52BF">
            <w:pPr>
              <w:spacing w:before="240"/>
              <w:rPr>
                <w:rFonts w:cstheme="minorHAnsi"/>
              </w:rPr>
            </w:pPr>
          </w:p>
        </w:tc>
      </w:tr>
      <w:tr w:rsidR="00CA52BF" w:rsidRPr="006F4780" w14:paraId="546BAA42" w14:textId="77777777" w:rsidTr="006F4780">
        <w:trPr>
          <w:trHeight w:val="450"/>
        </w:trPr>
        <w:tc>
          <w:tcPr>
            <w:tcW w:w="2738" w:type="dxa"/>
            <w:vMerge/>
            <w:hideMark/>
          </w:tcPr>
          <w:p w14:paraId="7B569252" w14:textId="77777777" w:rsidR="00CA52BF" w:rsidRPr="006F4780" w:rsidRDefault="00CA52BF" w:rsidP="00CA52BF">
            <w:pPr>
              <w:spacing w:before="240"/>
              <w:rPr>
                <w:rFonts w:cstheme="minorHAnsi"/>
              </w:rPr>
            </w:pPr>
          </w:p>
        </w:tc>
        <w:tc>
          <w:tcPr>
            <w:tcW w:w="1373" w:type="dxa"/>
            <w:vMerge/>
            <w:hideMark/>
          </w:tcPr>
          <w:p w14:paraId="43383F3D" w14:textId="77777777" w:rsidR="00CA52BF" w:rsidRPr="006F4780" w:rsidRDefault="00CA52BF" w:rsidP="00CA52BF">
            <w:pPr>
              <w:spacing w:before="240"/>
              <w:rPr>
                <w:rFonts w:cstheme="minorHAnsi"/>
              </w:rPr>
            </w:pPr>
          </w:p>
        </w:tc>
        <w:tc>
          <w:tcPr>
            <w:tcW w:w="1413" w:type="dxa"/>
            <w:vMerge/>
            <w:hideMark/>
          </w:tcPr>
          <w:p w14:paraId="5FDECCEB" w14:textId="77777777" w:rsidR="00CA52BF" w:rsidRPr="006F4780" w:rsidRDefault="00CA52BF" w:rsidP="00CA52BF">
            <w:pPr>
              <w:spacing w:before="240"/>
              <w:rPr>
                <w:rFonts w:cstheme="minorHAnsi"/>
              </w:rPr>
            </w:pPr>
          </w:p>
        </w:tc>
        <w:tc>
          <w:tcPr>
            <w:tcW w:w="3604" w:type="dxa"/>
            <w:vMerge/>
            <w:hideMark/>
          </w:tcPr>
          <w:p w14:paraId="01683156" w14:textId="77777777" w:rsidR="00CA52BF" w:rsidRPr="006F4780" w:rsidRDefault="00CA52BF" w:rsidP="00CA52BF">
            <w:pPr>
              <w:spacing w:before="240"/>
              <w:rPr>
                <w:rFonts w:cstheme="minorHAnsi"/>
              </w:rPr>
            </w:pPr>
          </w:p>
        </w:tc>
      </w:tr>
      <w:tr w:rsidR="00CA52BF" w:rsidRPr="006F4780" w14:paraId="0F5815FC" w14:textId="77777777" w:rsidTr="006F4780">
        <w:trPr>
          <w:trHeight w:val="450"/>
        </w:trPr>
        <w:tc>
          <w:tcPr>
            <w:tcW w:w="2738" w:type="dxa"/>
            <w:vMerge/>
            <w:hideMark/>
          </w:tcPr>
          <w:p w14:paraId="416F944F" w14:textId="77777777" w:rsidR="00CA52BF" w:rsidRPr="006F4780" w:rsidRDefault="00CA52BF" w:rsidP="00CA52BF">
            <w:pPr>
              <w:spacing w:before="240"/>
              <w:rPr>
                <w:rFonts w:cstheme="minorHAnsi"/>
              </w:rPr>
            </w:pPr>
          </w:p>
        </w:tc>
        <w:tc>
          <w:tcPr>
            <w:tcW w:w="1373" w:type="dxa"/>
            <w:vMerge/>
            <w:hideMark/>
          </w:tcPr>
          <w:p w14:paraId="70997343" w14:textId="77777777" w:rsidR="00CA52BF" w:rsidRPr="006F4780" w:rsidRDefault="00CA52BF" w:rsidP="00CA52BF">
            <w:pPr>
              <w:spacing w:before="240"/>
              <w:rPr>
                <w:rFonts w:cstheme="minorHAnsi"/>
              </w:rPr>
            </w:pPr>
          </w:p>
        </w:tc>
        <w:tc>
          <w:tcPr>
            <w:tcW w:w="1413" w:type="dxa"/>
            <w:vMerge/>
            <w:hideMark/>
          </w:tcPr>
          <w:p w14:paraId="49E7C601" w14:textId="77777777" w:rsidR="00CA52BF" w:rsidRPr="006F4780" w:rsidRDefault="00CA52BF" w:rsidP="00CA52BF">
            <w:pPr>
              <w:spacing w:before="240"/>
              <w:rPr>
                <w:rFonts w:cstheme="minorHAnsi"/>
              </w:rPr>
            </w:pPr>
          </w:p>
        </w:tc>
        <w:tc>
          <w:tcPr>
            <w:tcW w:w="3604" w:type="dxa"/>
            <w:vMerge/>
            <w:hideMark/>
          </w:tcPr>
          <w:p w14:paraId="5BA3E728" w14:textId="77777777" w:rsidR="00CA52BF" w:rsidRPr="006F4780" w:rsidRDefault="00CA52BF" w:rsidP="00CA52BF">
            <w:pPr>
              <w:spacing w:before="240"/>
              <w:rPr>
                <w:rFonts w:cstheme="minorHAnsi"/>
              </w:rPr>
            </w:pPr>
          </w:p>
        </w:tc>
      </w:tr>
      <w:tr w:rsidR="00CA52BF" w:rsidRPr="006F4780" w14:paraId="0B171223" w14:textId="77777777" w:rsidTr="006F4780">
        <w:trPr>
          <w:trHeight w:val="3000"/>
        </w:trPr>
        <w:tc>
          <w:tcPr>
            <w:tcW w:w="2738" w:type="dxa"/>
            <w:vMerge w:val="restart"/>
            <w:hideMark/>
          </w:tcPr>
          <w:p w14:paraId="41500F8E" w14:textId="77777777" w:rsidR="00CA52BF" w:rsidRPr="006F4780" w:rsidRDefault="00CA52BF" w:rsidP="00CA52BF">
            <w:pPr>
              <w:spacing w:before="240"/>
              <w:rPr>
                <w:rFonts w:cstheme="minorHAnsi"/>
              </w:rPr>
            </w:pPr>
            <w:r w:rsidRPr="006F4780">
              <w:rPr>
                <w:rFonts w:cstheme="minorHAnsi"/>
              </w:rPr>
              <w:t>IBC Regulatory Reporting - Data Extracts - IBC Claims</w:t>
            </w:r>
          </w:p>
        </w:tc>
        <w:tc>
          <w:tcPr>
            <w:tcW w:w="1373" w:type="dxa"/>
            <w:vMerge w:val="restart"/>
            <w:hideMark/>
          </w:tcPr>
          <w:p w14:paraId="37719E77" w14:textId="77777777" w:rsidR="00CA52BF" w:rsidRPr="006F4780" w:rsidRDefault="00CA52BF" w:rsidP="00CA52BF">
            <w:pPr>
              <w:spacing w:before="240"/>
              <w:rPr>
                <w:rFonts w:cstheme="minorHAnsi"/>
              </w:rPr>
            </w:pPr>
            <w:r w:rsidRPr="006F4780">
              <w:rPr>
                <w:rFonts w:cstheme="minorHAnsi"/>
              </w:rPr>
              <w:t>between 7th-11th (except 20th December)</w:t>
            </w:r>
          </w:p>
        </w:tc>
        <w:tc>
          <w:tcPr>
            <w:tcW w:w="1413" w:type="dxa"/>
            <w:vMerge w:val="restart"/>
            <w:noWrap/>
            <w:hideMark/>
          </w:tcPr>
          <w:p w14:paraId="1CD919F1" w14:textId="77777777" w:rsidR="00CA52BF" w:rsidRPr="006F4780" w:rsidRDefault="00CA52BF" w:rsidP="00CA52BF">
            <w:pPr>
              <w:spacing w:before="240"/>
              <w:rPr>
                <w:rFonts w:cstheme="minorHAnsi"/>
              </w:rPr>
            </w:pPr>
            <w:r w:rsidRPr="006F4780">
              <w:rPr>
                <w:rFonts w:cstheme="minorHAnsi"/>
              </w:rPr>
              <w:t>Dashboard</w:t>
            </w:r>
          </w:p>
        </w:tc>
        <w:tc>
          <w:tcPr>
            <w:tcW w:w="3604" w:type="dxa"/>
            <w:vMerge w:val="restart"/>
            <w:hideMark/>
          </w:tcPr>
          <w:p w14:paraId="4FC4FCCE" w14:textId="77777777" w:rsidR="00CA52BF" w:rsidRPr="006F4780" w:rsidRDefault="00CA52BF" w:rsidP="00CA52BF">
            <w:pPr>
              <w:spacing w:before="240"/>
              <w:rPr>
                <w:rFonts w:cstheme="minorHAnsi"/>
              </w:rPr>
            </w:pPr>
            <w:r w:rsidRPr="006F4780">
              <w:rPr>
                <w:rFonts w:cstheme="minorHAnsi"/>
              </w:rPr>
              <w:t>List of Binding Authority transactions not settled via Lineage (used to monitor/reconcile the regulatory business Coverholders/Third Party Administrators are obliged to report to Lloyd's Canada - Commercial Ontario Liability and Automobile).</w:t>
            </w:r>
          </w:p>
        </w:tc>
      </w:tr>
      <w:tr w:rsidR="00CA52BF" w:rsidRPr="006F4780" w14:paraId="7AB5395D" w14:textId="77777777" w:rsidTr="006F4780">
        <w:trPr>
          <w:trHeight w:val="450"/>
        </w:trPr>
        <w:tc>
          <w:tcPr>
            <w:tcW w:w="2738" w:type="dxa"/>
            <w:vMerge/>
            <w:hideMark/>
          </w:tcPr>
          <w:p w14:paraId="0F1F6F62" w14:textId="77777777" w:rsidR="00CA52BF" w:rsidRPr="006F4780" w:rsidRDefault="00CA52BF" w:rsidP="00CA52BF">
            <w:pPr>
              <w:rPr>
                <w:rFonts w:cstheme="minorHAnsi"/>
              </w:rPr>
            </w:pPr>
          </w:p>
        </w:tc>
        <w:tc>
          <w:tcPr>
            <w:tcW w:w="1373" w:type="dxa"/>
            <w:vMerge/>
            <w:hideMark/>
          </w:tcPr>
          <w:p w14:paraId="4400AB96" w14:textId="77777777" w:rsidR="00CA52BF" w:rsidRPr="006F4780" w:rsidRDefault="00CA52BF" w:rsidP="00CA52BF">
            <w:pPr>
              <w:rPr>
                <w:rFonts w:cstheme="minorHAnsi"/>
              </w:rPr>
            </w:pPr>
          </w:p>
        </w:tc>
        <w:tc>
          <w:tcPr>
            <w:tcW w:w="1413" w:type="dxa"/>
            <w:vMerge/>
            <w:hideMark/>
          </w:tcPr>
          <w:p w14:paraId="68C3810A" w14:textId="77777777" w:rsidR="00CA52BF" w:rsidRPr="006F4780" w:rsidRDefault="00CA52BF" w:rsidP="00CA52BF">
            <w:pPr>
              <w:rPr>
                <w:rFonts w:cstheme="minorHAnsi"/>
              </w:rPr>
            </w:pPr>
          </w:p>
        </w:tc>
        <w:tc>
          <w:tcPr>
            <w:tcW w:w="3604" w:type="dxa"/>
            <w:vMerge/>
            <w:hideMark/>
          </w:tcPr>
          <w:p w14:paraId="2F3A5DE3" w14:textId="77777777" w:rsidR="00CA52BF" w:rsidRPr="006F4780" w:rsidRDefault="00CA52BF" w:rsidP="00CA52BF">
            <w:pPr>
              <w:rPr>
                <w:rFonts w:cstheme="minorHAnsi"/>
              </w:rPr>
            </w:pPr>
          </w:p>
        </w:tc>
      </w:tr>
      <w:tr w:rsidR="00CA52BF" w:rsidRPr="006F4780" w14:paraId="34956275" w14:textId="77777777" w:rsidTr="006F4780">
        <w:trPr>
          <w:trHeight w:val="2235"/>
        </w:trPr>
        <w:tc>
          <w:tcPr>
            <w:tcW w:w="2738" w:type="dxa"/>
            <w:vMerge w:val="restart"/>
            <w:hideMark/>
          </w:tcPr>
          <w:p w14:paraId="15669EB2" w14:textId="77777777" w:rsidR="00CA52BF" w:rsidRPr="006F4780" w:rsidRDefault="00CA52BF" w:rsidP="00CA52BF">
            <w:pPr>
              <w:spacing w:before="240"/>
              <w:rPr>
                <w:rFonts w:cstheme="minorHAnsi"/>
              </w:rPr>
            </w:pPr>
            <w:r w:rsidRPr="006F4780">
              <w:rPr>
                <w:rFonts w:cstheme="minorHAnsi"/>
              </w:rPr>
              <w:lastRenderedPageBreak/>
              <w:t>IBC Regulatory Reporting - Data Extracts - IBC Risks</w:t>
            </w:r>
          </w:p>
        </w:tc>
        <w:tc>
          <w:tcPr>
            <w:tcW w:w="1373" w:type="dxa"/>
            <w:vMerge w:val="restart"/>
            <w:hideMark/>
          </w:tcPr>
          <w:p w14:paraId="1CE2DA86" w14:textId="77777777" w:rsidR="00CA52BF" w:rsidRPr="006F4780" w:rsidRDefault="00CA52BF" w:rsidP="00CA52BF">
            <w:pPr>
              <w:spacing w:before="240"/>
              <w:rPr>
                <w:rFonts w:cstheme="minorHAnsi"/>
              </w:rPr>
            </w:pPr>
            <w:r w:rsidRPr="006F4780">
              <w:rPr>
                <w:rFonts w:cstheme="minorHAnsi"/>
              </w:rPr>
              <w:t>between 7th-11th (except 20th December)</w:t>
            </w:r>
          </w:p>
        </w:tc>
        <w:tc>
          <w:tcPr>
            <w:tcW w:w="1413" w:type="dxa"/>
            <w:vMerge w:val="restart"/>
            <w:noWrap/>
            <w:hideMark/>
          </w:tcPr>
          <w:p w14:paraId="45E60193" w14:textId="77777777" w:rsidR="00CA52BF" w:rsidRPr="006F4780" w:rsidRDefault="00CA52BF" w:rsidP="00CA52BF">
            <w:pPr>
              <w:spacing w:before="240"/>
              <w:rPr>
                <w:rFonts w:cstheme="minorHAnsi"/>
              </w:rPr>
            </w:pPr>
            <w:r w:rsidRPr="006F4780">
              <w:rPr>
                <w:rFonts w:cstheme="minorHAnsi"/>
              </w:rPr>
              <w:t>Dashboard</w:t>
            </w:r>
          </w:p>
        </w:tc>
        <w:tc>
          <w:tcPr>
            <w:tcW w:w="3604" w:type="dxa"/>
            <w:vMerge w:val="restart"/>
            <w:hideMark/>
          </w:tcPr>
          <w:p w14:paraId="23D73567" w14:textId="77777777" w:rsidR="00CA52BF" w:rsidRPr="006F4780" w:rsidRDefault="00CA52BF" w:rsidP="00CA52BF">
            <w:pPr>
              <w:spacing w:before="240"/>
              <w:rPr>
                <w:rFonts w:cstheme="minorHAnsi"/>
              </w:rPr>
            </w:pPr>
            <w:r w:rsidRPr="006F4780">
              <w:rPr>
                <w:rFonts w:cstheme="minorHAnsi"/>
              </w:rPr>
              <w:t>List of Binding Authority transactions not settled via Lineage (used to monitor/reconcile the regulatory business Coverholders are obliged to report to Lloyd's Canada - Commercial Ontario Liability and Automobile).</w:t>
            </w:r>
          </w:p>
        </w:tc>
      </w:tr>
      <w:tr w:rsidR="00CA52BF" w:rsidRPr="006F4780" w14:paraId="7FA94D45" w14:textId="77777777" w:rsidTr="006F4780">
        <w:trPr>
          <w:trHeight w:val="450"/>
        </w:trPr>
        <w:tc>
          <w:tcPr>
            <w:tcW w:w="2738" w:type="dxa"/>
            <w:vMerge/>
            <w:hideMark/>
          </w:tcPr>
          <w:p w14:paraId="61EEEAE2" w14:textId="77777777" w:rsidR="00CA52BF" w:rsidRPr="006F4780" w:rsidRDefault="00CA52BF" w:rsidP="00CA52BF">
            <w:pPr>
              <w:spacing w:before="240"/>
              <w:rPr>
                <w:rFonts w:cstheme="minorHAnsi"/>
              </w:rPr>
            </w:pPr>
          </w:p>
        </w:tc>
        <w:tc>
          <w:tcPr>
            <w:tcW w:w="1373" w:type="dxa"/>
            <w:vMerge/>
            <w:hideMark/>
          </w:tcPr>
          <w:p w14:paraId="25B5CBC7" w14:textId="77777777" w:rsidR="00CA52BF" w:rsidRPr="006F4780" w:rsidRDefault="00CA52BF" w:rsidP="00CA52BF">
            <w:pPr>
              <w:spacing w:before="240"/>
              <w:rPr>
                <w:rFonts w:cstheme="minorHAnsi"/>
              </w:rPr>
            </w:pPr>
          </w:p>
        </w:tc>
        <w:tc>
          <w:tcPr>
            <w:tcW w:w="1413" w:type="dxa"/>
            <w:vMerge/>
            <w:hideMark/>
          </w:tcPr>
          <w:p w14:paraId="4A574571" w14:textId="77777777" w:rsidR="00CA52BF" w:rsidRPr="006F4780" w:rsidRDefault="00CA52BF" w:rsidP="00CA52BF">
            <w:pPr>
              <w:spacing w:before="240"/>
              <w:rPr>
                <w:rFonts w:cstheme="minorHAnsi"/>
              </w:rPr>
            </w:pPr>
          </w:p>
        </w:tc>
        <w:tc>
          <w:tcPr>
            <w:tcW w:w="3604" w:type="dxa"/>
            <w:vMerge/>
            <w:hideMark/>
          </w:tcPr>
          <w:p w14:paraId="110FEA14" w14:textId="77777777" w:rsidR="00CA52BF" w:rsidRPr="006F4780" w:rsidRDefault="00CA52BF" w:rsidP="00CA52BF">
            <w:pPr>
              <w:spacing w:before="240"/>
              <w:rPr>
                <w:rFonts w:cstheme="minorHAnsi"/>
              </w:rPr>
            </w:pPr>
          </w:p>
        </w:tc>
      </w:tr>
      <w:tr w:rsidR="00CA52BF" w:rsidRPr="006F4780" w14:paraId="73811125" w14:textId="77777777" w:rsidTr="006F4780">
        <w:trPr>
          <w:trHeight w:val="1995"/>
        </w:trPr>
        <w:tc>
          <w:tcPr>
            <w:tcW w:w="2738" w:type="dxa"/>
            <w:hideMark/>
          </w:tcPr>
          <w:p w14:paraId="1D0648DA" w14:textId="77777777" w:rsidR="00CA52BF" w:rsidRPr="006F4780" w:rsidRDefault="00CA52BF" w:rsidP="00CA52BF">
            <w:pPr>
              <w:spacing w:before="240"/>
              <w:rPr>
                <w:rFonts w:cstheme="minorHAnsi"/>
              </w:rPr>
            </w:pPr>
            <w:r w:rsidRPr="006F4780">
              <w:rPr>
                <w:rFonts w:cstheme="minorHAnsi"/>
              </w:rPr>
              <w:t>Monthly Transactions - Data Extracts - Claims Excluding Settlement - All Transactions</w:t>
            </w:r>
          </w:p>
        </w:tc>
        <w:tc>
          <w:tcPr>
            <w:tcW w:w="1373" w:type="dxa"/>
            <w:hideMark/>
          </w:tcPr>
          <w:p w14:paraId="1525A58B" w14:textId="77777777" w:rsidR="00CA52BF" w:rsidRPr="006F4780" w:rsidRDefault="00CA52BF" w:rsidP="00CA52BF">
            <w:pPr>
              <w:spacing w:before="240"/>
              <w:rPr>
                <w:rFonts w:cstheme="minorHAnsi"/>
              </w:rPr>
            </w:pPr>
            <w:r w:rsidRPr="006F4780">
              <w:rPr>
                <w:rFonts w:cstheme="minorHAnsi"/>
              </w:rPr>
              <w:t xml:space="preserve">4th </w:t>
            </w:r>
          </w:p>
        </w:tc>
        <w:tc>
          <w:tcPr>
            <w:tcW w:w="1413" w:type="dxa"/>
            <w:noWrap/>
            <w:hideMark/>
          </w:tcPr>
          <w:p w14:paraId="604C90DF"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745EB0DF" w14:textId="77777777" w:rsidR="00CA52BF" w:rsidRPr="006F4780" w:rsidRDefault="00CA52BF" w:rsidP="00CA52BF">
            <w:pPr>
              <w:spacing w:before="240"/>
              <w:rPr>
                <w:rFonts w:cstheme="minorHAnsi"/>
              </w:rPr>
            </w:pPr>
            <w:r w:rsidRPr="006F4780">
              <w:rPr>
                <w:rFonts w:cstheme="minorHAnsi"/>
              </w:rPr>
              <w:t>List of ALL approved claim payments including reserves processed during the accounting months. The Planned Settlement date is not indicated.</w:t>
            </w:r>
          </w:p>
        </w:tc>
      </w:tr>
      <w:tr w:rsidR="00CA52BF" w:rsidRPr="006F4780" w14:paraId="77A72430" w14:textId="77777777" w:rsidTr="006F4780">
        <w:trPr>
          <w:trHeight w:val="1590"/>
        </w:trPr>
        <w:tc>
          <w:tcPr>
            <w:tcW w:w="2738" w:type="dxa"/>
            <w:hideMark/>
          </w:tcPr>
          <w:p w14:paraId="397B9FC5" w14:textId="77777777" w:rsidR="00CA52BF" w:rsidRPr="006F4780" w:rsidRDefault="00CA52BF" w:rsidP="00CA52BF">
            <w:pPr>
              <w:spacing w:before="240"/>
              <w:rPr>
                <w:rFonts w:cstheme="minorHAnsi"/>
              </w:rPr>
            </w:pPr>
            <w:r w:rsidRPr="006F4780">
              <w:rPr>
                <w:rFonts w:cstheme="minorHAnsi"/>
              </w:rPr>
              <w:t>Monthly Transactions - Data Extracts - Claims Excluding/Including Settlement - Open Claims</w:t>
            </w:r>
          </w:p>
        </w:tc>
        <w:tc>
          <w:tcPr>
            <w:tcW w:w="1373" w:type="dxa"/>
            <w:hideMark/>
          </w:tcPr>
          <w:p w14:paraId="56AD0EA0" w14:textId="77777777" w:rsidR="00CA52BF" w:rsidRPr="006F4780" w:rsidRDefault="00CA52BF" w:rsidP="00CA52BF">
            <w:pPr>
              <w:spacing w:before="240"/>
              <w:rPr>
                <w:rFonts w:cstheme="minorHAnsi"/>
              </w:rPr>
            </w:pPr>
            <w:r w:rsidRPr="006F4780">
              <w:rPr>
                <w:rFonts w:cstheme="minorHAnsi"/>
              </w:rPr>
              <w:t xml:space="preserve">4th </w:t>
            </w:r>
          </w:p>
        </w:tc>
        <w:tc>
          <w:tcPr>
            <w:tcW w:w="1413" w:type="dxa"/>
            <w:noWrap/>
            <w:hideMark/>
          </w:tcPr>
          <w:p w14:paraId="4816E398"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31262565" w14:textId="77777777" w:rsidR="00CA52BF" w:rsidRPr="006F4780" w:rsidRDefault="00CA52BF" w:rsidP="00CA52BF">
            <w:pPr>
              <w:spacing w:before="240"/>
              <w:rPr>
                <w:rFonts w:cstheme="minorHAnsi"/>
              </w:rPr>
            </w:pPr>
            <w:r w:rsidRPr="006F4780">
              <w:rPr>
                <w:rFonts w:cstheme="minorHAnsi"/>
              </w:rPr>
              <w:t>Details for all open claims/kinds of loss/claimant as at the applicable accounting period. This report will eventually replace the standard report Open Claims (PDF version).</w:t>
            </w:r>
          </w:p>
        </w:tc>
      </w:tr>
      <w:tr w:rsidR="00CA52BF" w:rsidRPr="006F4780" w14:paraId="275D049C" w14:textId="77777777" w:rsidTr="006F4780">
        <w:trPr>
          <w:trHeight w:val="2385"/>
        </w:trPr>
        <w:tc>
          <w:tcPr>
            <w:tcW w:w="2738" w:type="dxa"/>
            <w:hideMark/>
          </w:tcPr>
          <w:p w14:paraId="62242FFC" w14:textId="77777777" w:rsidR="00CA52BF" w:rsidRPr="006F4780" w:rsidRDefault="00CA52BF" w:rsidP="00CA52BF">
            <w:pPr>
              <w:spacing w:before="240"/>
              <w:rPr>
                <w:rFonts w:cstheme="minorHAnsi"/>
              </w:rPr>
            </w:pPr>
            <w:r w:rsidRPr="006F4780">
              <w:rPr>
                <w:rFonts w:cstheme="minorHAnsi"/>
              </w:rPr>
              <w:t>Monthly Transactions - Data Extracts - Claims Excluding/Including Settlement - Payment Transactions</w:t>
            </w:r>
          </w:p>
        </w:tc>
        <w:tc>
          <w:tcPr>
            <w:tcW w:w="1373" w:type="dxa"/>
            <w:hideMark/>
          </w:tcPr>
          <w:p w14:paraId="2151BBC7" w14:textId="77777777" w:rsidR="00CA52BF" w:rsidRPr="006F4780" w:rsidRDefault="00CA52BF" w:rsidP="00CA52BF">
            <w:pPr>
              <w:spacing w:before="240"/>
              <w:rPr>
                <w:rFonts w:cstheme="minorHAnsi"/>
              </w:rPr>
            </w:pPr>
            <w:r w:rsidRPr="006F4780">
              <w:rPr>
                <w:rFonts w:cstheme="minorHAnsi"/>
              </w:rPr>
              <w:t xml:space="preserve">4th </w:t>
            </w:r>
          </w:p>
        </w:tc>
        <w:tc>
          <w:tcPr>
            <w:tcW w:w="1413" w:type="dxa"/>
            <w:noWrap/>
            <w:hideMark/>
          </w:tcPr>
          <w:p w14:paraId="579D83FA"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50DD00FC" w14:textId="77777777" w:rsidR="00CA52BF" w:rsidRPr="006F4780" w:rsidRDefault="00CA52BF" w:rsidP="00CA52BF">
            <w:pPr>
              <w:spacing w:before="240"/>
              <w:rPr>
                <w:rFonts w:cstheme="minorHAnsi"/>
              </w:rPr>
            </w:pPr>
            <w:r w:rsidRPr="006F4780">
              <w:rPr>
                <w:rFonts w:cstheme="minorHAnsi"/>
              </w:rPr>
              <w:t xml:space="preserve">Details the paid claims, including those identified as paid from a single large loss advance submitted by Coverholders and TPAs (regardless of </w:t>
            </w:r>
            <w:proofErr w:type="gramStart"/>
            <w:r w:rsidRPr="006F4780">
              <w:rPr>
                <w:rFonts w:cstheme="minorHAnsi"/>
              </w:rPr>
              <w:t>whether or not</w:t>
            </w:r>
            <w:proofErr w:type="gramEnd"/>
            <w:r w:rsidRPr="006F4780">
              <w:rPr>
                <w:rFonts w:cstheme="minorHAnsi"/>
              </w:rPr>
              <w:t xml:space="preserve"> the FDO details have been received and applied by Lloyd’s Canada). Information is for the applicable accounting period. This report will eventually replace the standard report Paid Loss (PDF version).</w:t>
            </w:r>
          </w:p>
        </w:tc>
      </w:tr>
      <w:tr w:rsidR="00CA52BF" w:rsidRPr="006F4780" w14:paraId="57D77560" w14:textId="77777777" w:rsidTr="006F4780">
        <w:trPr>
          <w:trHeight w:val="1680"/>
        </w:trPr>
        <w:tc>
          <w:tcPr>
            <w:tcW w:w="2738" w:type="dxa"/>
            <w:hideMark/>
          </w:tcPr>
          <w:p w14:paraId="3686AE70" w14:textId="77777777" w:rsidR="00CA52BF" w:rsidRPr="006F4780" w:rsidRDefault="00CA52BF" w:rsidP="00CA52BF">
            <w:pPr>
              <w:spacing w:before="240"/>
              <w:rPr>
                <w:rFonts w:cstheme="minorHAnsi"/>
              </w:rPr>
            </w:pPr>
            <w:r w:rsidRPr="006F4780">
              <w:rPr>
                <w:rFonts w:cstheme="minorHAnsi"/>
              </w:rPr>
              <w:t>Monthly Transactions - Data Extracts - Claims Including Settlement - All Transactions</w:t>
            </w:r>
          </w:p>
        </w:tc>
        <w:tc>
          <w:tcPr>
            <w:tcW w:w="1373" w:type="dxa"/>
            <w:hideMark/>
          </w:tcPr>
          <w:p w14:paraId="67DEC964" w14:textId="77777777" w:rsidR="00CA52BF" w:rsidRPr="006F4780" w:rsidRDefault="00CA52BF" w:rsidP="00CA52BF">
            <w:pPr>
              <w:spacing w:before="240"/>
              <w:rPr>
                <w:rFonts w:cstheme="minorHAnsi"/>
              </w:rPr>
            </w:pPr>
            <w:r w:rsidRPr="006F4780">
              <w:rPr>
                <w:rFonts w:cstheme="minorHAnsi"/>
              </w:rPr>
              <w:t xml:space="preserve">20th </w:t>
            </w:r>
          </w:p>
        </w:tc>
        <w:tc>
          <w:tcPr>
            <w:tcW w:w="1413" w:type="dxa"/>
            <w:noWrap/>
            <w:hideMark/>
          </w:tcPr>
          <w:p w14:paraId="68E0DED6" w14:textId="77777777" w:rsidR="00CA52BF" w:rsidRPr="006F4780" w:rsidRDefault="00CA52BF" w:rsidP="00CA52BF">
            <w:pPr>
              <w:spacing w:before="240"/>
              <w:rPr>
                <w:rFonts w:cstheme="minorHAnsi"/>
              </w:rPr>
            </w:pPr>
            <w:r w:rsidRPr="006F4780">
              <w:rPr>
                <w:rFonts w:cstheme="minorHAnsi"/>
              </w:rPr>
              <w:t>Dashboard</w:t>
            </w:r>
          </w:p>
        </w:tc>
        <w:tc>
          <w:tcPr>
            <w:tcW w:w="3604" w:type="dxa"/>
            <w:hideMark/>
          </w:tcPr>
          <w:p w14:paraId="15D1ABF5" w14:textId="77777777" w:rsidR="00CA52BF" w:rsidRPr="006F4780" w:rsidRDefault="00CA52BF" w:rsidP="00CA52BF">
            <w:pPr>
              <w:spacing w:before="240"/>
              <w:rPr>
                <w:rFonts w:cstheme="minorHAnsi"/>
              </w:rPr>
            </w:pPr>
            <w:r w:rsidRPr="006F4780">
              <w:rPr>
                <w:rFonts w:cstheme="minorHAnsi"/>
              </w:rPr>
              <w:t>List of ALL approved claim payments including reserves processed during the accounting months. The Planned Settlement date is indicated.</w:t>
            </w:r>
          </w:p>
        </w:tc>
      </w:tr>
    </w:tbl>
    <w:p w14:paraId="70D59B41" w14:textId="77777777" w:rsidR="006F4780" w:rsidRPr="00D92A8B" w:rsidRDefault="006F4780">
      <w:pPr>
        <w:rPr>
          <w:rFonts w:cstheme="minorHAnsi"/>
          <w:lang w:val="en-US"/>
        </w:rPr>
      </w:pPr>
    </w:p>
    <w:p w14:paraId="47C50383" w14:textId="77777777" w:rsidR="00F64FF0" w:rsidRPr="00D92A8B" w:rsidRDefault="00F64FF0">
      <w:pPr>
        <w:rPr>
          <w:rFonts w:cstheme="minorHAnsi"/>
          <w:lang w:val="en-US"/>
        </w:rPr>
      </w:pPr>
    </w:p>
    <w:p w14:paraId="75975727" w14:textId="77777777" w:rsidR="0090124D" w:rsidRPr="00D92A8B" w:rsidRDefault="0090124D">
      <w:pPr>
        <w:rPr>
          <w:rFonts w:cstheme="minorHAnsi"/>
          <w:lang w:val="en-US"/>
        </w:rPr>
      </w:pPr>
    </w:p>
    <w:p w14:paraId="49F75CE4" w14:textId="77777777" w:rsidR="003D77FC" w:rsidRPr="00D92A8B" w:rsidRDefault="003D77FC">
      <w:pPr>
        <w:rPr>
          <w:rFonts w:cstheme="minorHAnsi"/>
          <w:lang w:val="en-US"/>
        </w:rPr>
      </w:pPr>
    </w:p>
    <w:p w14:paraId="106EF3FF" w14:textId="0B9333E3" w:rsidR="00AC4F3E" w:rsidRDefault="00AC4F3E">
      <w:pPr>
        <w:rPr>
          <w:rFonts w:cstheme="minorHAnsi"/>
          <w:lang w:val="en-US"/>
        </w:rPr>
      </w:pPr>
    </w:p>
    <w:p w14:paraId="3D78D399" w14:textId="77777777" w:rsidR="00AC4F3E" w:rsidRPr="00E259D8" w:rsidRDefault="00AC4F3E" w:rsidP="00AC4F3E">
      <w:pPr>
        <w:rPr>
          <w:rFonts w:cstheme="minorHAnsi"/>
          <w:b/>
          <w:sz w:val="44"/>
          <w:szCs w:val="44"/>
          <w:u w:val="single"/>
          <w:lang w:val="en-US"/>
        </w:rPr>
      </w:pPr>
      <w:r w:rsidRPr="00E259D8">
        <w:rPr>
          <w:rFonts w:cstheme="minorHAnsi"/>
          <w:b/>
          <w:sz w:val="44"/>
          <w:szCs w:val="44"/>
          <w:u w:val="single"/>
          <w:lang w:val="en-US"/>
        </w:rPr>
        <w:t>Glossary</w:t>
      </w:r>
    </w:p>
    <w:tbl>
      <w:tblPr>
        <w:tblStyle w:val="TableGrid"/>
        <w:tblW w:w="0" w:type="auto"/>
        <w:tblLook w:val="04A0" w:firstRow="1" w:lastRow="0" w:firstColumn="1" w:lastColumn="0" w:noHBand="0" w:noVBand="1"/>
      </w:tblPr>
      <w:tblGrid>
        <w:gridCol w:w="2337"/>
        <w:gridCol w:w="5455"/>
      </w:tblGrid>
      <w:tr w:rsidR="00590738" w:rsidRPr="00590738" w14:paraId="08102516" w14:textId="77777777" w:rsidTr="00590738">
        <w:tc>
          <w:tcPr>
            <w:tcW w:w="2337" w:type="dxa"/>
            <w:shd w:val="clear" w:color="auto" w:fill="0070C0"/>
          </w:tcPr>
          <w:p w14:paraId="2ECE9A01" w14:textId="24CC91CB" w:rsidR="00590738" w:rsidRPr="00A8082E" w:rsidRDefault="00590738" w:rsidP="003F4E45">
            <w:pPr>
              <w:rPr>
                <w:rFonts w:cstheme="minorHAnsi"/>
                <w:b/>
                <w:bCs/>
                <w:color w:val="202124"/>
                <w:sz w:val="21"/>
                <w:szCs w:val="21"/>
                <w:shd w:val="clear" w:color="auto" w:fill="FFFFFF"/>
              </w:rPr>
            </w:pPr>
          </w:p>
        </w:tc>
        <w:tc>
          <w:tcPr>
            <w:tcW w:w="5455" w:type="dxa"/>
            <w:shd w:val="clear" w:color="auto" w:fill="0070C0"/>
          </w:tcPr>
          <w:p w14:paraId="46F6E085" w14:textId="6DC15B1A" w:rsidR="00590738" w:rsidRPr="00590738" w:rsidRDefault="00590738" w:rsidP="003F4E45">
            <w:pPr>
              <w:rPr>
                <w:rFonts w:cstheme="minorHAnsi"/>
                <w:b/>
                <w:bCs/>
                <w:color w:val="202124"/>
                <w:sz w:val="21"/>
                <w:szCs w:val="21"/>
                <w:shd w:val="clear" w:color="auto" w:fill="FFFFFF"/>
              </w:rPr>
            </w:pPr>
          </w:p>
        </w:tc>
      </w:tr>
      <w:tr w:rsidR="00590738" w:rsidRPr="00590738" w14:paraId="1BA29EF4" w14:textId="77777777" w:rsidTr="00590738">
        <w:tc>
          <w:tcPr>
            <w:tcW w:w="2337" w:type="dxa"/>
          </w:tcPr>
          <w:p w14:paraId="0B912CC2" w14:textId="486B245A" w:rsidR="00590738" w:rsidRPr="00A8082E" w:rsidRDefault="00590738" w:rsidP="003F4E45">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XCS</w:t>
            </w:r>
          </w:p>
        </w:tc>
        <w:tc>
          <w:tcPr>
            <w:tcW w:w="5455" w:type="dxa"/>
          </w:tcPr>
          <w:p w14:paraId="5B6ED73B" w14:textId="77777777" w:rsidR="00590738" w:rsidRPr="00590738" w:rsidRDefault="00590738" w:rsidP="003F4E45">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Xchanging Claims Services</w:t>
            </w:r>
          </w:p>
        </w:tc>
      </w:tr>
      <w:tr w:rsidR="00590738" w:rsidRPr="00590738" w14:paraId="633E6D54" w14:textId="77777777" w:rsidTr="00590738">
        <w:tc>
          <w:tcPr>
            <w:tcW w:w="2337" w:type="dxa"/>
          </w:tcPr>
          <w:p w14:paraId="48B8BFB2" w14:textId="77777777" w:rsidR="00590738" w:rsidRPr="00A8082E" w:rsidRDefault="00590738" w:rsidP="003F4E45">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SCM</w:t>
            </w:r>
          </w:p>
        </w:tc>
        <w:tc>
          <w:tcPr>
            <w:tcW w:w="5455" w:type="dxa"/>
          </w:tcPr>
          <w:p w14:paraId="729EED52" w14:textId="77777777" w:rsidR="00590738" w:rsidRPr="00590738" w:rsidRDefault="00590738" w:rsidP="003F4E45">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Syndicate Claims Message</w:t>
            </w:r>
          </w:p>
        </w:tc>
      </w:tr>
      <w:tr w:rsidR="00590738" w:rsidRPr="00590738" w14:paraId="17FCD22E" w14:textId="77777777" w:rsidTr="00590738">
        <w:tc>
          <w:tcPr>
            <w:tcW w:w="2337" w:type="dxa"/>
          </w:tcPr>
          <w:p w14:paraId="6CF529B9" w14:textId="77777777" w:rsidR="00590738" w:rsidRPr="00A8082E" w:rsidRDefault="00590738" w:rsidP="003F4E45">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PTD</w:t>
            </w:r>
          </w:p>
        </w:tc>
        <w:tc>
          <w:tcPr>
            <w:tcW w:w="5455" w:type="dxa"/>
          </w:tcPr>
          <w:p w14:paraId="144E81DD" w14:textId="72A846F6" w:rsidR="00590738" w:rsidRPr="00590738" w:rsidRDefault="00590738" w:rsidP="003F4E45">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Paid to date</w:t>
            </w:r>
          </w:p>
        </w:tc>
      </w:tr>
      <w:tr w:rsidR="00590738" w:rsidRPr="00590738" w14:paraId="2D242CB4" w14:textId="77777777" w:rsidTr="00590738">
        <w:tc>
          <w:tcPr>
            <w:tcW w:w="2337" w:type="dxa"/>
          </w:tcPr>
          <w:p w14:paraId="5917FA50" w14:textId="77777777" w:rsidR="00590738" w:rsidRPr="00A8082E" w:rsidRDefault="00590738" w:rsidP="003F4E45">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CLASS</w:t>
            </w:r>
          </w:p>
        </w:tc>
        <w:tc>
          <w:tcPr>
            <w:tcW w:w="5455" w:type="dxa"/>
          </w:tcPr>
          <w:p w14:paraId="07EAB378" w14:textId="77777777" w:rsidR="00590738" w:rsidRPr="00590738" w:rsidRDefault="00590738" w:rsidP="003F4E45">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Claims Loss Advice &amp; Settlement System</w:t>
            </w:r>
          </w:p>
        </w:tc>
      </w:tr>
      <w:tr w:rsidR="00590738" w:rsidRPr="00590738" w14:paraId="039B7733" w14:textId="77777777" w:rsidTr="00590738">
        <w:tc>
          <w:tcPr>
            <w:tcW w:w="2337" w:type="dxa"/>
          </w:tcPr>
          <w:p w14:paraId="5FD3C350" w14:textId="77777777" w:rsidR="00590738" w:rsidRPr="00A8082E" w:rsidRDefault="00590738" w:rsidP="003F4E45">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OSN&amp;D</w:t>
            </w:r>
          </w:p>
        </w:tc>
        <w:tc>
          <w:tcPr>
            <w:tcW w:w="5455" w:type="dxa"/>
          </w:tcPr>
          <w:p w14:paraId="59F8D0AB" w14:textId="77777777" w:rsidR="00590738" w:rsidRPr="00590738" w:rsidRDefault="00590738" w:rsidP="003F4E45">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Original Signing Number and Date</w:t>
            </w:r>
          </w:p>
        </w:tc>
      </w:tr>
      <w:tr w:rsidR="00590738" w:rsidRPr="00590738" w14:paraId="496760AD" w14:textId="77777777" w:rsidTr="00590738">
        <w:tc>
          <w:tcPr>
            <w:tcW w:w="2337" w:type="dxa"/>
          </w:tcPr>
          <w:p w14:paraId="7E389480"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O/S</w:t>
            </w:r>
          </w:p>
        </w:tc>
        <w:tc>
          <w:tcPr>
            <w:tcW w:w="5455" w:type="dxa"/>
          </w:tcPr>
          <w:p w14:paraId="5BA5DC72" w14:textId="55FED3C2"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Outstanding</w:t>
            </w:r>
          </w:p>
        </w:tc>
      </w:tr>
      <w:tr w:rsidR="00590738" w:rsidRPr="00590738" w14:paraId="1BBDDEE4" w14:textId="77777777" w:rsidTr="00590738">
        <w:tc>
          <w:tcPr>
            <w:tcW w:w="2337" w:type="dxa"/>
          </w:tcPr>
          <w:p w14:paraId="1DF4A38B"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COR</w:t>
            </w:r>
          </w:p>
        </w:tc>
        <w:tc>
          <w:tcPr>
            <w:tcW w:w="5455" w:type="dxa"/>
          </w:tcPr>
          <w:p w14:paraId="4D32C50A" w14:textId="2C0E99D6"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Claim Office Record</w:t>
            </w:r>
          </w:p>
        </w:tc>
      </w:tr>
      <w:tr w:rsidR="00590738" w:rsidRPr="00590738" w14:paraId="0D0CACA6" w14:textId="77777777" w:rsidTr="00590738">
        <w:tc>
          <w:tcPr>
            <w:tcW w:w="2337" w:type="dxa"/>
          </w:tcPr>
          <w:p w14:paraId="5E1C8BDF"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I-Item</w:t>
            </w:r>
          </w:p>
        </w:tc>
        <w:tc>
          <w:tcPr>
            <w:tcW w:w="5455" w:type="dxa"/>
          </w:tcPr>
          <w:p w14:paraId="082EC8F3" w14:textId="473070D9"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Item of Interest</w:t>
            </w:r>
          </w:p>
        </w:tc>
      </w:tr>
      <w:tr w:rsidR="00590738" w:rsidRPr="00590738" w14:paraId="7E2DCAA5" w14:textId="77777777" w:rsidTr="00590738">
        <w:tc>
          <w:tcPr>
            <w:tcW w:w="2337" w:type="dxa"/>
          </w:tcPr>
          <w:p w14:paraId="3A481EC4"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UW</w:t>
            </w:r>
          </w:p>
        </w:tc>
        <w:tc>
          <w:tcPr>
            <w:tcW w:w="5455" w:type="dxa"/>
          </w:tcPr>
          <w:p w14:paraId="7BD12376" w14:textId="286600F6"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Underwriter</w:t>
            </w:r>
          </w:p>
        </w:tc>
      </w:tr>
      <w:tr w:rsidR="00590738" w:rsidRPr="00590738" w14:paraId="7A5D98D8" w14:textId="77777777" w:rsidTr="00590738">
        <w:tc>
          <w:tcPr>
            <w:tcW w:w="2337" w:type="dxa"/>
          </w:tcPr>
          <w:p w14:paraId="3DC42057"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CH</w:t>
            </w:r>
          </w:p>
        </w:tc>
        <w:tc>
          <w:tcPr>
            <w:tcW w:w="5455" w:type="dxa"/>
          </w:tcPr>
          <w:p w14:paraId="281981F3" w14:textId="6C3FA5D2"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Coverholder</w:t>
            </w:r>
          </w:p>
        </w:tc>
      </w:tr>
      <w:tr w:rsidR="00590738" w:rsidRPr="00590738" w14:paraId="7D0B57F5" w14:textId="77777777" w:rsidTr="00590738">
        <w:tc>
          <w:tcPr>
            <w:tcW w:w="2337" w:type="dxa"/>
          </w:tcPr>
          <w:p w14:paraId="73BD8942"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TPA</w:t>
            </w:r>
          </w:p>
        </w:tc>
        <w:tc>
          <w:tcPr>
            <w:tcW w:w="5455" w:type="dxa"/>
          </w:tcPr>
          <w:p w14:paraId="49478D4E" w14:textId="60C95BED"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Third Party Administrator</w:t>
            </w:r>
          </w:p>
        </w:tc>
      </w:tr>
      <w:tr w:rsidR="00590738" w:rsidRPr="00590738" w14:paraId="41EABA7C" w14:textId="77777777" w:rsidTr="00590738">
        <w:tc>
          <w:tcPr>
            <w:tcW w:w="2337" w:type="dxa"/>
          </w:tcPr>
          <w:p w14:paraId="373A4A31"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LB</w:t>
            </w:r>
          </w:p>
        </w:tc>
        <w:tc>
          <w:tcPr>
            <w:tcW w:w="5455" w:type="dxa"/>
          </w:tcPr>
          <w:p w14:paraId="523CFAC3" w14:textId="27D89001"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Lloyd’s Broker</w:t>
            </w:r>
          </w:p>
        </w:tc>
      </w:tr>
      <w:tr w:rsidR="00590738" w:rsidRPr="00590738" w14:paraId="4693598E" w14:textId="77777777" w:rsidTr="00590738">
        <w:tc>
          <w:tcPr>
            <w:tcW w:w="2337" w:type="dxa"/>
          </w:tcPr>
          <w:p w14:paraId="65010514"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TDN</w:t>
            </w:r>
          </w:p>
        </w:tc>
        <w:tc>
          <w:tcPr>
            <w:tcW w:w="5455" w:type="dxa"/>
          </w:tcPr>
          <w:p w14:paraId="732CCEE4" w14:textId="3A194856"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Take Down Number</w:t>
            </w:r>
          </w:p>
        </w:tc>
      </w:tr>
      <w:tr w:rsidR="00590738" w:rsidRPr="00590738" w14:paraId="2A4D064B" w14:textId="77777777" w:rsidTr="00590738">
        <w:tc>
          <w:tcPr>
            <w:tcW w:w="2337" w:type="dxa"/>
          </w:tcPr>
          <w:p w14:paraId="1DDF87D0" w14:textId="77777777" w:rsidR="00590738" w:rsidRPr="00A8082E" w:rsidRDefault="00590738" w:rsidP="00590738">
            <w:pPr>
              <w:rPr>
                <w:rFonts w:cstheme="minorHAnsi"/>
                <w:lang w:val="en-US"/>
              </w:rPr>
            </w:pPr>
            <w:r w:rsidRPr="00A8082E">
              <w:rPr>
                <w:rFonts w:cstheme="minorHAnsi"/>
                <w:b/>
                <w:bCs/>
                <w:color w:val="202124"/>
                <w:sz w:val="21"/>
                <w:szCs w:val="21"/>
                <w:shd w:val="clear" w:color="auto" w:fill="FFFFFF"/>
              </w:rPr>
              <w:t>API</w:t>
            </w:r>
          </w:p>
        </w:tc>
        <w:tc>
          <w:tcPr>
            <w:tcW w:w="5455" w:type="dxa"/>
          </w:tcPr>
          <w:p w14:paraId="2369E745" w14:textId="76F8DA23" w:rsidR="00590738" w:rsidRPr="00590738" w:rsidRDefault="00590738" w:rsidP="00590738">
            <w:pPr>
              <w:rPr>
                <w:rFonts w:cstheme="minorHAnsi"/>
                <w:lang w:val="en-US"/>
              </w:rPr>
            </w:pPr>
            <w:r w:rsidRPr="00590738">
              <w:rPr>
                <w:rFonts w:cstheme="minorHAnsi"/>
                <w:b/>
                <w:bCs/>
                <w:color w:val="202124"/>
                <w:sz w:val="21"/>
                <w:szCs w:val="21"/>
                <w:shd w:val="clear" w:color="auto" w:fill="FFFFFF"/>
              </w:rPr>
              <w:t>Application Programming Interface</w:t>
            </w:r>
          </w:p>
        </w:tc>
      </w:tr>
      <w:tr w:rsidR="00590738" w:rsidRPr="00590738" w14:paraId="1F2C2E45" w14:textId="77777777" w:rsidTr="00590738">
        <w:tc>
          <w:tcPr>
            <w:tcW w:w="2337" w:type="dxa"/>
          </w:tcPr>
          <w:p w14:paraId="67F74635" w14:textId="77777777" w:rsidR="00590738" w:rsidRPr="00A8082E" w:rsidRDefault="00590738" w:rsidP="00590738">
            <w:pPr>
              <w:rPr>
                <w:rFonts w:cstheme="minorHAnsi"/>
                <w:b/>
                <w:bCs/>
                <w:color w:val="202124"/>
                <w:sz w:val="21"/>
                <w:szCs w:val="21"/>
                <w:shd w:val="clear" w:color="auto" w:fill="FFFFFF"/>
              </w:rPr>
            </w:pPr>
            <w:r w:rsidRPr="00A8082E">
              <w:rPr>
                <w:rFonts w:cstheme="minorHAnsi"/>
                <w:b/>
                <w:bCs/>
                <w:color w:val="202124"/>
                <w:sz w:val="21"/>
                <w:szCs w:val="21"/>
                <w:shd w:val="clear" w:color="auto" w:fill="FFFFFF"/>
              </w:rPr>
              <w:t>DCA</w:t>
            </w:r>
          </w:p>
        </w:tc>
        <w:tc>
          <w:tcPr>
            <w:tcW w:w="5455" w:type="dxa"/>
          </w:tcPr>
          <w:p w14:paraId="144D4CBA" w14:textId="43D57B2F" w:rsidR="00590738" w:rsidRPr="00590738" w:rsidRDefault="00590738" w:rsidP="00590738">
            <w:pPr>
              <w:rPr>
                <w:rFonts w:cstheme="minorHAnsi"/>
                <w:b/>
                <w:bCs/>
                <w:color w:val="202124"/>
                <w:sz w:val="21"/>
                <w:szCs w:val="21"/>
                <w:shd w:val="clear" w:color="auto" w:fill="FFFFFF"/>
              </w:rPr>
            </w:pPr>
            <w:r w:rsidRPr="00590738">
              <w:rPr>
                <w:rFonts w:cstheme="minorHAnsi"/>
                <w:b/>
                <w:bCs/>
                <w:color w:val="202124"/>
                <w:sz w:val="21"/>
                <w:szCs w:val="21"/>
                <w:shd w:val="clear" w:color="auto" w:fill="FFFFFF"/>
              </w:rPr>
              <w:t>Delegated Claims Administrator</w:t>
            </w:r>
          </w:p>
        </w:tc>
      </w:tr>
    </w:tbl>
    <w:p w14:paraId="293A526C" w14:textId="77777777" w:rsidR="00AC4F3E" w:rsidRPr="00D92A8B" w:rsidRDefault="00AC4F3E" w:rsidP="00590738">
      <w:pPr>
        <w:rPr>
          <w:rFonts w:cstheme="minorHAnsi"/>
          <w:lang w:val="en-US"/>
        </w:rPr>
      </w:pPr>
    </w:p>
    <w:sectPr w:rsidR="00AC4F3E" w:rsidRPr="00D92A8B" w:rsidSect="00A74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A60E" w14:textId="77777777" w:rsidR="00F525E0" w:rsidRDefault="00F525E0" w:rsidP="003103F6">
      <w:pPr>
        <w:spacing w:after="0" w:line="240" w:lineRule="auto"/>
      </w:pPr>
      <w:r>
        <w:separator/>
      </w:r>
    </w:p>
  </w:endnote>
  <w:endnote w:type="continuationSeparator" w:id="0">
    <w:p w14:paraId="0E263CA1" w14:textId="77777777" w:rsidR="00F525E0" w:rsidRDefault="00F525E0" w:rsidP="0031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5E59" w14:textId="77777777" w:rsidR="00F525E0" w:rsidRDefault="00F525E0" w:rsidP="003103F6">
      <w:pPr>
        <w:spacing w:after="0" w:line="240" w:lineRule="auto"/>
      </w:pPr>
      <w:r>
        <w:separator/>
      </w:r>
    </w:p>
  </w:footnote>
  <w:footnote w:type="continuationSeparator" w:id="0">
    <w:p w14:paraId="7B48ABD9" w14:textId="77777777" w:rsidR="00F525E0" w:rsidRDefault="00F525E0" w:rsidP="00310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9032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446A3F"/>
    <w:multiLevelType w:val="hybridMultilevel"/>
    <w:tmpl w:val="6F32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858DB"/>
    <w:multiLevelType w:val="hybridMultilevel"/>
    <w:tmpl w:val="445C05EA"/>
    <w:lvl w:ilvl="0" w:tplc="3E2EC040">
      <w:start w:val="1"/>
      <w:numFmt w:val="bullet"/>
      <w:lvlText w:val="•"/>
      <w:lvlJc w:val="left"/>
      <w:pPr>
        <w:tabs>
          <w:tab w:val="num" w:pos="720"/>
        </w:tabs>
        <w:ind w:left="720" w:hanging="360"/>
      </w:pPr>
      <w:rPr>
        <w:rFonts w:ascii="Arial" w:hAnsi="Arial" w:hint="default"/>
      </w:rPr>
    </w:lvl>
    <w:lvl w:ilvl="1" w:tplc="C74C6A80" w:tentative="1">
      <w:start w:val="1"/>
      <w:numFmt w:val="bullet"/>
      <w:lvlText w:val="•"/>
      <w:lvlJc w:val="left"/>
      <w:pPr>
        <w:tabs>
          <w:tab w:val="num" w:pos="1440"/>
        </w:tabs>
        <w:ind w:left="1440" w:hanging="360"/>
      </w:pPr>
      <w:rPr>
        <w:rFonts w:ascii="Arial" w:hAnsi="Arial" w:hint="default"/>
      </w:rPr>
    </w:lvl>
    <w:lvl w:ilvl="2" w:tplc="2B54BA04" w:tentative="1">
      <w:start w:val="1"/>
      <w:numFmt w:val="bullet"/>
      <w:lvlText w:val="•"/>
      <w:lvlJc w:val="left"/>
      <w:pPr>
        <w:tabs>
          <w:tab w:val="num" w:pos="2160"/>
        </w:tabs>
        <w:ind w:left="2160" w:hanging="360"/>
      </w:pPr>
      <w:rPr>
        <w:rFonts w:ascii="Arial" w:hAnsi="Arial" w:hint="default"/>
      </w:rPr>
    </w:lvl>
    <w:lvl w:ilvl="3" w:tplc="AFAE1EDA" w:tentative="1">
      <w:start w:val="1"/>
      <w:numFmt w:val="bullet"/>
      <w:lvlText w:val="•"/>
      <w:lvlJc w:val="left"/>
      <w:pPr>
        <w:tabs>
          <w:tab w:val="num" w:pos="2880"/>
        </w:tabs>
        <w:ind w:left="2880" w:hanging="360"/>
      </w:pPr>
      <w:rPr>
        <w:rFonts w:ascii="Arial" w:hAnsi="Arial" w:hint="default"/>
      </w:rPr>
    </w:lvl>
    <w:lvl w:ilvl="4" w:tplc="FA24D04A" w:tentative="1">
      <w:start w:val="1"/>
      <w:numFmt w:val="bullet"/>
      <w:lvlText w:val="•"/>
      <w:lvlJc w:val="left"/>
      <w:pPr>
        <w:tabs>
          <w:tab w:val="num" w:pos="3600"/>
        </w:tabs>
        <w:ind w:left="3600" w:hanging="360"/>
      </w:pPr>
      <w:rPr>
        <w:rFonts w:ascii="Arial" w:hAnsi="Arial" w:hint="default"/>
      </w:rPr>
    </w:lvl>
    <w:lvl w:ilvl="5" w:tplc="1EA2B24E" w:tentative="1">
      <w:start w:val="1"/>
      <w:numFmt w:val="bullet"/>
      <w:lvlText w:val="•"/>
      <w:lvlJc w:val="left"/>
      <w:pPr>
        <w:tabs>
          <w:tab w:val="num" w:pos="4320"/>
        </w:tabs>
        <w:ind w:left="4320" w:hanging="360"/>
      </w:pPr>
      <w:rPr>
        <w:rFonts w:ascii="Arial" w:hAnsi="Arial" w:hint="default"/>
      </w:rPr>
    </w:lvl>
    <w:lvl w:ilvl="6" w:tplc="F3546660" w:tentative="1">
      <w:start w:val="1"/>
      <w:numFmt w:val="bullet"/>
      <w:lvlText w:val="•"/>
      <w:lvlJc w:val="left"/>
      <w:pPr>
        <w:tabs>
          <w:tab w:val="num" w:pos="5040"/>
        </w:tabs>
        <w:ind w:left="5040" w:hanging="360"/>
      </w:pPr>
      <w:rPr>
        <w:rFonts w:ascii="Arial" w:hAnsi="Arial" w:hint="default"/>
      </w:rPr>
    </w:lvl>
    <w:lvl w:ilvl="7" w:tplc="E85EE4AC" w:tentative="1">
      <w:start w:val="1"/>
      <w:numFmt w:val="bullet"/>
      <w:lvlText w:val="•"/>
      <w:lvlJc w:val="left"/>
      <w:pPr>
        <w:tabs>
          <w:tab w:val="num" w:pos="5760"/>
        </w:tabs>
        <w:ind w:left="5760" w:hanging="360"/>
      </w:pPr>
      <w:rPr>
        <w:rFonts w:ascii="Arial" w:hAnsi="Arial" w:hint="default"/>
      </w:rPr>
    </w:lvl>
    <w:lvl w:ilvl="8" w:tplc="54C2E8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F95B7D"/>
    <w:multiLevelType w:val="hybridMultilevel"/>
    <w:tmpl w:val="4A7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E2149"/>
    <w:multiLevelType w:val="hybridMultilevel"/>
    <w:tmpl w:val="4928F9F6"/>
    <w:lvl w:ilvl="0" w:tplc="1A8E27C6">
      <w:start w:val="1"/>
      <w:numFmt w:val="bullet"/>
      <w:lvlText w:val="•"/>
      <w:lvlJc w:val="left"/>
      <w:pPr>
        <w:tabs>
          <w:tab w:val="num" w:pos="720"/>
        </w:tabs>
        <w:ind w:left="720" w:hanging="360"/>
      </w:pPr>
      <w:rPr>
        <w:rFonts w:ascii="Arial" w:hAnsi="Arial" w:hint="default"/>
      </w:rPr>
    </w:lvl>
    <w:lvl w:ilvl="1" w:tplc="4D72A3E6" w:tentative="1">
      <w:start w:val="1"/>
      <w:numFmt w:val="bullet"/>
      <w:lvlText w:val="•"/>
      <w:lvlJc w:val="left"/>
      <w:pPr>
        <w:tabs>
          <w:tab w:val="num" w:pos="1440"/>
        </w:tabs>
        <w:ind w:left="1440" w:hanging="360"/>
      </w:pPr>
      <w:rPr>
        <w:rFonts w:ascii="Arial" w:hAnsi="Arial" w:hint="default"/>
      </w:rPr>
    </w:lvl>
    <w:lvl w:ilvl="2" w:tplc="4560D11E" w:tentative="1">
      <w:start w:val="1"/>
      <w:numFmt w:val="bullet"/>
      <w:lvlText w:val="•"/>
      <w:lvlJc w:val="left"/>
      <w:pPr>
        <w:tabs>
          <w:tab w:val="num" w:pos="2160"/>
        </w:tabs>
        <w:ind w:left="2160" w:hanging="360"/>
      </w:pPr>
      <w:rPr>
        <w:rFonts w:ascii="Arial" w:hAnsi="Arial" w:hint="default"/>
      </w:rPr>
    </w:lvl>
    <w:lvl w:ilvl="3" w:tplc="049AF088" w:tentative="1">
      <w:start w:val="1"/>
      <w:numFmt w:val="bullet"/>
      <w:lvlText w:val="•"/>
      <w:lvlJc w:val="left"/>
      <w:pPr>
        <w:tabs>
          <w:tab w:val="num" w:pos="2880"/>
        </w:tabs>
        <w:ind w:left="2880" w:hanging="360"/>
      </w:pPr>
      <w:rPr>
        <w:rFonts w:ascii="Arial" w:hAnsi="Arial" w:hint="default"/>
      </w:rPr>
    </w:lvl>
    <w:lvl w:ilvl="4" w:tplc="52C47A08" w:tentative="1">
      <w:start w:val="1"/>
      <w:numFmt w:val="bullet"/>
      <w:lvlText w:val="•"/>
      <w:lvlJc w:val="left"/>
      <w:pPr>
        <w:tabs>
          <w:tab w:val="num" w:pos="3600"/>
        </w:tabs>
        <w:ind w:left="3600" w:hanging="360"/>
      </w:pPr>
      <w:rPr>
        <w:rFonts w:ascii="Arial" w:hAnsi="Arial" w:hint="default"/>
      </w:rPr>
    </w:lvl>
    <w:lvl w:ilvl="5" w:tplc="102E164C" w:tentative="1">
      <w:start w:val="1"/>
      <w:numFmt w:val="bullet"/>
      <w:lvlText w:val="•"/>
      <w:lvlJc w:val="left"/>
      <w:pPr>
        <w:tabs>
          <w:tab w:val="num" w:pos="4320"/>
        </w:tabs>
        <w:ind w:left="4320" w:hanging="360"/>
      </w:pPr>
      <w:rPr>
        <w:rFonts w:ascii="Arial" w:hAnsi="Arial" w:hint="default"/>
      </w:rPr>
    </w:lvl>
    <w:lvl w:ilvl="6" w:tplc="E140EF80" w:tentative="1">
      <w:start w:val="1"/>
      <w:numFmt w:val="bullet"/>
      <w:lvlText w:val="•"/>
      <w:lvlJc w:val="left"/>
      <w:pPr>
        <w:tabs>
          <w:tab w:val="num" w:pos="5040"/>
        </w:tabs>
        <w:ind w:left="5040" w:hanging="360"/>
      </w:pPr>
      <w:rPr>
        <w:rFonts w:ascii="Arial" w:hAnsi="Arial" w:hint="default"/>
      </w:rPr>
    </w:lvl>
    <w:lvl w:ilvl="7" w:tplc="A46C2F54" w:tentative="1">
      <w:start w:val="1"/>
      <w:numFmt w:val="bullet"/>
      <w:lvlText w:val="•"/>
      <w:lvlJc w:val="left"/>
      <w:pPr>
        <w:tabs>
          <w:tab w:val="num" w:pos="5760"/>
        </w:tabs>
        <w:ind w:left="5760" w:hanging="360"/>
      </w:pPr>
      <w:rPr>
        <w:rFonts w:ascii="Arial" w:hAnsi="Arial" w:hint="default"/>
      </w:rPr>
    </w:lvl>
    <w:lvl w:ilvl="8" w:tplc="06BA60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3B165C"/>
    <w:multiLevelType w:val="hybridMultilevel"/>
    <w:tmpl w:val="0FE8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050A0"/>
    <w:multiLevelType w:val="hybridMultilevel"/>
    <w:tmpl w:val="A548376A"/>
    <w:lvl w:ilvl="0" w:tplc="3DD0C250">
      <w:start w:val="1"/>
      <w:numFmt w:val="bullet"/>
      <w:lvlText w:val="•"/>
      <w:lvlJc w:val="left"/>
      <w:pPr>
        <w:tabs>
          <w:tab w:val="num" w:pos="720"/>
        </w:tabs>
        <w:ind w:left="720" w:hanging="360"/>
      </w:pPr>
      <w:rPr>
        <w:rFonts w:ascii="Arial" w:hAnsi="Arial" w:hint="default"/>
      </w:rPr>
    </w:lvl>
    <w:lvl w:ilvl="1" w:tplc="2C74CC9A" w:tentative="1">
      <w:start w:val="1"/>
      <w:numFmt w:val="bullet"/>
      <w:lvlText w:val="•"/>
      <w:lvlJc w:val="left"/>
      <w:pPr>
        <w:tabs>
          <w:tab w:val="num" w:pos="1440"/>
        </w:tabs>
        <w:ind w:left="1440" w:hanging="360"/>
      </w:pPr>
      <w:rPr>
        <w:rFonts w:ascii="Arial" w:hAnsi="Arial" w:hint="default"/>
      </w:rPr>
    </w:lvl>
    <w:lvl w:ilvl="2" w:tplc="DF1E2F9A" w:tentative="1">
      <w:start w:val="1"/>
      <w:numFmt w:val="bullet"/>
      <w:lvlText w:val="•"/>
      <w:lvlJc w:val="left"/>
      <w:pPr>
        <w:tabs>
          <w:tab w:val="num" w:pos="2160"/>
        </w:tabs>
        <w:ind w:left="2160" w:hanging="360"/>
      </w:pPr>
      <w:rPr>
        <w:rFonts w:ascii="Arial" w:hAnsi="Arial" w:hint="default"/>
      </w:rPr>
    </w:lvl>
    <w:lvl w:ilvl="3" w:tplc="9A42439C" w:tentative="1">
      <w:start w:val="1"/>
      <w:numFmt w:val="bullet"/>
      <w:lvlText w:val="•"/>
      <w:lvlJc w:val="left"/>
      <w:pPr>
        <w:tabs>
          <w:tab w:val="num" w:pos="2880"/>
        </w:tabs>
        <w:ind w:left="2880" w:hanging="360"/>
      </w:pPr>
      <w:rPr>
        <w:rFonts w:ascii="Arial" w:hAnsi="Arial" w:hint="default"/>
      </w:rPr>
    </w:lvl>
    <w:lvl w:ilvl="4" w:tplc="0F8E0BC8" w:tentative="1">
      <w:start w:val="1"/>
      <w:numFmt w:val="bullet"/>
      <w:lvlText w:val="•"/>
      <w:lvlJc w:val="left"/>
      <w:pPr>
        <w:tabs>
          <w:tab w:val="num" w:pos="3600"/>
        </w:tabs>
        <w:ind w:left="3600" w:hanging="360"/>
      </w:pPr>
      <w:rPr>
        <w:rFonts w:ascii="Arial" w:hAnsi="Arial" w:hint="default"/>
      </w:rPr>
    </w:lvl>
    <w:lvl w:ilvl="5" w:tplc="6B1802B0" w:tentative="1">
      <w:start w:val="1"/>
      <w:numFmt w:val="bullet"/>
      <w:lvlText w:val="•"/>
      <w:lvlJc w:val="left"/>
      <w:pPr>
        <w:tabs>
          <w:tab w:val="num" w:pos="4320"/>
        </w:tabs>
        <w:ind w:left="4320" w:hanging="360"/>
      </w:pPr>
      <w:rPr>
        <w:rFonts w:ascii="Arial" w:hAnsi="Arial" w:hint="default"/>
      </w:rPr>
    </w:lvl>
    <w:lvl w:ilvl="6" w:tplc="830281B4" w:tentative="1">
      <w:start w:val="1"/>
      <w:numFmt w:val="bullet"/>
      <w:lvlText w:val="•"/>
      <w:lvlJc w:val="left"/>
      <w:pPr>
        <w:tabs>
          <w:tab w:val="num" w:pos="5040"/>
        </w:tabs>
        <w:ind w:left="5040" w:hanging="360"/>
      </w:pPr>
      <w:rPr>
        <w:rFonts w:ascii="Arial" w:hAnsi="Arial" w:hint="default"/>
      </w:rPr>
    </w:lvl>
    <w:lvl w:ilvl="7" w:tplc="7690D396" w:tentative="1">
      <w:start w:val="1"/>
      <w:numFmt w:val="bullet"/>
      <w:lvlText w:val="•"/>
      <w:lvlJc w:val="left"/>
      <w:pPr>
        <w:tabs>
          <w:tab w:val="num" w:pos="5760"/>
        </w:tabs>
        <w:ind w:left="5760" w:hanging="360"/>
      </w:pPr>
      <w:rPr>
        <w:rFonts w:ascii="Arial" w:hAnsi="Arial" w:hint="default"/>
      </w:rPr>
    </w:lvl>
    <w:lvl w:ilvl="8" w:tplc="9ECC9A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1065A0"/>
    <w:multiLevelType w:val="hybridMultilevel"/>
    <w:tmpl w:val="D1F081E8"/>
    <w:lvl w:ilvl="0" w:tplc="218AF9AE">
      <w:start w:val="1"/>
      <w:numFmt w:val="bullet"/>
      <w:lvlText w:val="•"/>
      <w:lvlJc w:val="left"/>
      <w:pPr>
        <w:tabs>
          <w:tab w:val="num" w:pos="720"/>
        </w:tabs>
        <w:ind w:left="720" w:hanging="360"/>
      </w:pPr>
      <w:rPr>
        <w:rFonts w:ascii="Arial" w:hAnsi="Arial" w:hint="default"/>
      </w:rPr>
    </w:lvl>
    <w:lvl w:ilvl="1" w:tplc="47A871F0" w:tentative="1">
      <w:start w:val="1"/>
      <w:numFmt w:val="bullet"/>
      <w:lvlText w:val="•"/>
      <w:lvlJc w:val="left"/>
      <w:pPr>
        <w:tabs>
          <w:tab w:val="num" w:pos="1440"/>
        </w:tabs>
        <w:ind w:left="1440" w:hanging="360"/>
      </w:pPr>
      <w:rPr>
        <w:rFonts w:ascii="Arial" w:hAnsi="Arial" w:hint="default"/>
      </w:rPr>
    </w:lvl>
    <w:lvl w:ilvl="2" w:tplc="712C251A" w:tentative="1">
      <w:start w:val="1"/>
      <w:numFmt w:val="bullet"/>
      <w:lvlText w:val="•"/>
      <w:lvlJc w:val="left"/>
      <w:pPr>
        <w:tabs>
          <w:tab w:val="num" w:pos="2160"/>
        </w:tabs>
        <w:ind w:left="2160" w:hanging="360"/>
      </w:pPr>
      <w:rPr>
        <w:rFonts w:ascii="Arial" w:hAnsi="Arial" w:hint="default"/>
      </w:rPr>
    </w:lvl>
    <w:lvl w:ilvl="3" w:tplc="D5DCE602" w:tentative="1">
      <w:start w:val="1"/>
      <w:numFmt w:val="bullet"/>
      <w:lvlText w:val="•"/>
      <w:lvlJc w:val="left"/>
      <w:pPr>
        <w:tabs>
          <w:tab w:val="num" w:pos="2880"/>
        </w:tabs>
        <w:ind w:left="2880" w:hanging="360"/>
      </w:pPr>
      <w:rPr>
        <w:rFonts w:ascii="Arial" w:hAnsi="Arial" w:hint="default"/>
      </w:rPr>
    </w:lvl>
    <w:lvl w:ilvl="4" w:tplc="9A38EF72" w:tentative="1">
      <w:start w:val="1"/>
      <w:numFmt w:val="bullet"/>
      <w:lvlText w:val="•"/>
      <w:lvlJc w:val="left"/>
      <w:pPr>
        <w:tabs>
          <w:tab w:val="num" w:pos="3600"/>
        </w:tabs>
        <w:ind w:left="3600" w:hanging="360"/>
      </w:pPr>
      <w:rPr>
        <w:rFonts w:ascii="Arial" w:hAnsi="Arial" w:hint="default"/>
      </w:rPr>
    </w:lvl>
    <w:lvl w:ilvl="5" w:tplc="9412054E" w:tentative="1">
      <w:start w:val="1"/>
      <w:numFmt w:val="bullet"/>
      <w:lvlText w:val="•"/>
      <w:lvlJc w:val="left"/>
      <w:pPr>
        <w:tabs>
          <w:tab w:val="num" w:pos="4320"/>
        </w:tabs>
        <w:ind w:left="4320" w:hanging="360"/>
      </w:pPr>
      <w:rPr>
        <w:rFonts w:ascii="Arial" w:hAnsi="Arial" w:hint="default"/>
      </w:rPr>
    </w:lvl>
    <w:lvl w:ilvl="6" w:tplc="C630C58C" w:tentative="1">
      <w:start w:val="1"/>
      <w:numFmt w:val="bullet"/>
      <w:lvlText w:val="•"/>
      <w:lvlJc w:val="left"/>
      <w:pPr>
        <w:tabs>
          <w:tab w:val="num" w:pos="5040"/>
        </w:tabs>
        <w:ind w:left="5040" w:hanging="360"/>
      </w:pPr>
      <w:rPr>
        <w:rFonts w:ascii="Arial" w:hAnsi="Arial" w:hint="default"/>
      </w:rPr>
    </w:lvl>
    <w:lvl w:ilvl="7" w:tplc="3806AA20" w:tentative="1">
      <w:start w:val="1"/>
      <w:numFmt w:val="bullet"/>
      <w:lvlText w:val="•"/>
      <w:lvlJc w:val="left"/>
      <w:pPr>
        <w:tabs>
          <w:tab w:val="num" w:pos="5760"/>
        </w:tabs>
        <w:ind w:left="5760" w:hanging="360"/>
      </w:pPr>
      <w:rPr>
        <w:rFonts w:ascii="Arial" w:hAnsi="Arial" w:hint="default"/>
      </w:rPr>
    </w:lvl>
    <w:lvl w:ilvl="8" w:tplc="431A8A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E658AC"/>
    <w:multiLevelType w:val="hybridMultilevel"/>
    <w:tmpl w:val="0E5E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31C57"/>
    <w:multiLevelType w:val="hybridMultilevel"/>
    <w:tmpl w:val="BDC0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50C42"/>
    <w:multiLevelType w:val="hybridMultilevel"/>
    <w:tmpl w:val="D6E4A680"/>
    <w:lvl w:ilvl="0" w:tplc="223496DE">
      <w:start w:val="1"/>
      <w:numFmt w:val="bullet"/>
      <w:lvlText w:val="•"/>
      <w:lvlJc w:val="left"/>
      <w:pPr>
        <w:tabs>
          <w:tab w:val="num" w:pos="720"/>
        </w:tabs>
        <w:ind w:left="720" w:hanging="360"/>
      </w:pPr>
      <w:rPr>
        <w:rFonts w:ascii="Arial" w:hAnsi="Arial" w:hint="default"/>
      </w:rPr>
    </w:lvl>
    <w:lvl w:ilvl="1" w:tplc="65E69886" w:tentative="1">
      <w:start w:val="1"/>
      <w:numFmt w:val="bullet"/>
      <w:lvlText w:val="•"/>
      <w:lvlJc w:val="left"/>
      <w:pPr>
        <w:tabs>
          <w:tab w:val="num" w:pos="1440"/>
        </w:tabs>
        <w:ind w:left="1440" w:hanging="360"/>
      </w:pPr>
      <w:rPr>
        <w:rFonts w:ascii="Arial" w:hAnsi="Arial" w:hint="default"/>
      </w:rPr>
    </w:lvl>
    <w:lvl w:ilvl="2" w:tplc="DD56D5AC" w:tentative="1">
      <w:start w:val="1"/>
      <w:numFmt w:val="bullet"/>
      <w:lvlText w:val="•"/>
      <w:lvlJc w:val="left"/>
      <w:pPr>
        <w:tabs>
          <w:tab w:val="num" w:pos="2160"/>
        </w:tabs>
        <w:ind w:left="2160" w:hanging="360"/>
      </w:pPr>
      <w:rPr>
        <w:rFonts w:ascii="Arial" w:hAnsi="Arial" w:hint="default"/>
      </w:rPr>
    </w:lvl>
    <w:lvl w:ilvl="3" w:tplc="D12C0772" w:tentative="1">
      <w:start w:val="1"/>
      <w:numFmt w:val="bullet"/>
      <w:lvlText w:val="•"/>
      <w:lvlJc w:val="left"/>
      <w:pPr>
        <w:tabs>
          <w:tab w:val="num" w:pos="2880"/>
        </w:tabs>
        <w:ind w:left="2880" w:hanging="360"/>
      </w:pPr>
      <w:rPr>
        <w:rFonts w:ascii="Arial" w:hAnsi="Arial" w:hint="default"/>
      </w:rPr>
    </w:lvl>
    <w:lvl w:ilvl="4" w:tplc="137AA7A4" w:tentative="1">
      <w:start w:val="1"/>
      <w:numFmt w:val="bullet"/>
      <w:lvlText w:val="•"/>
      <w:lvlJc w:val="left"/>
      <w:pPr>
        <w:tabs>
          <w:tab w:val="num" w:pos="3600"/>
        </w:tabs>
        <w:ind w:left="3600" w:hanging="360"/>
      </w:pPr>
      <w:rPr>
        <w:rFonts w:ascii="Arial" w:hAnsi="Arial" w:hint="default"/>
      </w:rPr>
    </w:lvl>
    <w:lvl w:ilvl="5" w:tplc="D8EC5E0A" w:tentative="1">
      <w:start w:val="1"/>
      <w:numFmt w:val="bullet"/>
      <w:lvlText w:val="•"/>
      <w:lvlJc w:val="left"/>
      <w:pPr>
        <w:tabs>
          <w:tab w:val="num" w:pos="4320"/>
        </w:tabs>
        <w:ind w:left="4320" w:hanging="360"/>
      </w:pPr>
      <w:rPr>
        <w:rFonts w:ascii="Arial" w:hAnsi="Arial" w:hint="default"/>
      </w:rPr>
    </w:lvl>
    <w:lvl w:ilvl="6" w:tplc="F9DCF0B4" w:tentative="1">
      <w:start w:val="1"/>
      <w:numFmt w:val="bullet"/>
      <w:lvlText w:val="•"/>
      <w:lvlJc w:val="left"/>
      <w:pPr>
        <w:tabs>
          <w:tab w:val="num" w:pos="5040"/>
        </w:tabs>
        <w:ind w:left="5040" w:hanging="360"/>
      </w:pPr>
      <w:rPr>
        <w:rFonts w:ascii="Arial" w:hAnsi="Arial" w:hint="default"/>
      </w:rPr>
    </w:lvl>
    <w:lvl w:ilvl="7" w:tplc="F3583A4C" w:tentative="1">
      <w:start w:val="1"/>
      <w:numFmt w:val="bullet"/>
      <w:lvlText w:val="•"/>
      <w:lvlJc w:val="left"/>
      <w:pPr>
        <w:tabs>
          <w:tab w:val="num" w:pos="5760"/>
        </w:tabs>
        <w:ind w:left="5760" w:hanging="360"/>
      </w:pPr>
      <w:rPr>
        <w:rFonts w:ascii="Arial" w:hAnsi="Arial" w:hint="default"/>
      </w:rPr>
    </w:lvl>
    <w:lvl w:ilvl="8" w:tplc="F67CA4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434281"/>
    <w:multiLevelType w:val="hybridMultilevel"/>
    <w:tmpl w:val="FF6C72B4"/>
    <w:lvl w:ilvl="0" w:tplc="CC987282">
      <w:start w:val="1"/>
      <w:numFmt w:val="bullet"/>
      <w:lvlText w:val="•"/>
      <w:lvlJc w:val="left"/>
      <w:pPr>
        <w:tabs>
          <w:tab w:val="num" w:pos="720"/>
        </w:tabs>
        <w:ind w:left="720" w:hanging="360"/>
      </w:pPr>
      <w:rPr>
        <w:rFonts w:ascii="Arial" w:hAnsi="Arial" w:hint="default"/>
      </w:rPr>
    </w:lvl>
    <w:lvl w:ilvl="1" w:tplc="5E2895DA" w:tentative="1">
      <w:start w:val="1"/>
      <w:numFmt w:val="bullet"/>
      <w:lvlText w:val="•"/>
      <w:lvlJc w:val="left"/>
      <w:pPr>
        <w:tabs>
          <w:tab w:val="num" w:pos="1440"/>
        </w:tabs>
        <w:ind w:left="1440" w:hanging="360"/>
      </w:pPr>
      <w:rPr>
        <w:rFonts w:ascii="Arial" w:hAnsi="Arial" w:hint="default"/>
      </w:rPr>
    </w:lvl>
    <w:lvl w:ilvl="2" w:tplc="44CA51D2" w:tentative="1">
      <w:start w:val="1"/>
      <w:numFmt w:val="bullet"/>
      <w:lvlText w:val="•"/>
      <w:lvlJc w:val="left"/>
      <w:pPr>
        <w:tabs>
          <w:tab w:val="num" w:pos="2160"/>
        </w:tabs>
        <w:ind w:left="2160" w:hanging="360"/>
      </w:pPr>
      <w:rPr>
        <w:rFonts w:ascii="Arial" w:hAnsi="Arial" w:hint="default"/>
      </w:rPr>
    </w:lvl>
    <w:lvl w:ilvl="3" w:tplc="39A4964C" w:tentative="1">
      <w:start w:val="1"/>
      <w:numFmt w:val="bullet"/>
      <w:lvlText w:val="•"/>
      <w:lvlJc w:val="left"/>
      <w:pPr>
        <w:tabs>
          <w:tab w:val="num" w:pos="2880"/>
        </w:tabs>
        <w:ind w:left="2880" w:hanging="360"/>
      </w:pPr>
      <w:rPr>
        <w:rFonts w:ascii="Arial" w:hAnsi="Arial" w:hint="default"/>
      </w:rPr>
    </w:lvl>
    <w:lvl w:ilvl="4" w:tplc="79BA38A2" w:tentative="1">
      <w:start w:val="1"/>
      <w:numFmt w:val="bullet"/>
      <w:lvlText w:val="•"/>
      <w:lvlJc w:val="left"/>
      <w:pPr>
        <w:tabs>
          <w:tab w:val="num" w:pos="3600"/>
        </w:tabs>
        <w:ind w:left="3600" w:hanging="360"/>
      </w:pPr>
      <w:rPr>
        <w:rFonts w:ascii="Arial" w:hAnsi="Arial" w:hint="default"/>
      </w:rPr>
    </w:lvl>
    <w:lvl w:ilvl="5" w:tplc="E77C3F80" w:tentative="1">
      <w:start w:val="1"/>
      <w:numFmt w:val="bullet"/>
      <w:lvlText w:val="•"/>
      <w:lvlJc w:val="left"/>
      <w:pPr>
        <w:tabs>
          <w:tab w:val="num" w:pos="4320"/>
        </w:tabs>
        <w:ind w:left="4320" w:hanging="360"/>
      </w:pPr>
      <w:rPr>
        <w:rFonts w:ascii="Arial" w:hAnsi="Arial" w:hint="default"/>
      </w:rPr>
    </w:lvl>
    <w:lvl w:ilvl="6" w:tplc="A4969E88" w:tentative="1">
      <w:start w:val="1"/>
      <w:numFmt w:val="bullet"/>
      <w:lvlText w:val="•"/>
      <w:lvlJc w:val="left"/>
      <w:pPr>
        <w:tabs>
          <w:tab w:val="num" w:pos="5040"/>
        </w:tabs>
        <w:ind w:left="5040" w:hanging="360"/>
      </w:pPr>
      <w:rPr>
        <w:rFonts w:ascii="Arial" w:hAnsi="Arial" w:hint="default"/>
      </w:rPr>
    </w:lvl>
    <w:lvl w:ilvl="7" w:tplc="60BA36B6" w:tentative="1">
      <w:start w:val="1"/>
      <w:numFmt w:val="bullet"/>
      <w:lvlText w:val="•"/>
      <w:lvlJc w:val="left"/>
      <w:pPr>
        <w:tabs>
          <w:tab w:val="num" w:pos="5760"/>
        </w:tabs>
        <w:ind w:left="5760" w:hanging="360"/>
      </w:pPr>
      <w:rPr>
        <w:rFonts w:ascii="Arial" w:hAnsi="Arial" w:hint="default"/>
      </w:rPr>
    </w:lvl>
    <w:lvl w:ilvl="8" w:tplc="2E1A2832" w:tentative="1">
      <w:start w:val="1"/>
      <w:numFmt w:val="bullet"/>
      <w:lvlText w:val="•"/>
      <w:lvlJc w:val="left"/>
      <w:pPr>
        <w:tabs>
          <w:tab w:val="num" w:pos="6480"/>
        </w:tabs>
        <w:ind w:left="6480" w:hanging="360"/>
      </w:pPr>
      <w:rPr>
        <w:rFonts w:ascii="Arial" w:hAnsi="Arial" w:hint="default"/>
      </w:rPr>
    </w:lvl>
  </w:abstractNum>
  <w:num w:numId="1" w16cid:durableId="2087989337">
    <w:abstractNumId w:val="9"/>
  </w:num>
  <w:num w:numId="2" w16cid:durableId="28533997">
    <w:abstractNumId w:val="1"/>
  </w:num>
  <w:num w:numId="3" w16cid:durableId="377516894">
    <w:abstractNumId w:val="5"/>
  </w:num>
  <w:num w:numId="4" w16cid:durableId="809830495">
    <w:abstractNumId w:val="0"/>
  </w:num>
  <w:num w:numId="5" w16cid:durableId="436604525">
    <w:abstractNumId w:val="4"/>
  </w:num>
  <w:num w:numId="6" w16cid:durableId="2041123214">
    <w:abstractNumId w:val="11"/>
  </w:num>
  <w:num w:numId="7" w16cid:durableId="1725255418">
    <w:abstractNumId w:val="2"/>
  </w:num>
  <w:num w:numId="8" w16cid:durableId="1149981433">
    <w:abstractNumId w:val="6"/>
  </w:num>
  <w:num w:numId="9" w16cid:durableId="1198084389">
    <w:abstractNumId w:val="7"/>
  </w:num>
  <w:num w:numId="10" w16cid:durableId="553352515">
    <w:abstractNumId w:val="10"/>
  </w:num>
  <w:num w:numId="11" w16cid:durableId="1702625837">
    <w:abstractNumId w:val="3"/>
  </w:num>
  <w:num w:numId="12" w16cid:durableId="1441074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24D"/>
    <w:rsid w:val="00003CD7"/>
    <w:rsid w:val="00052780"/>
    <w:rsid w:val="0007056D"/>
    <w:rsid w:val="000A701C"/>
    <w:rsid w:val="000A7E9A"/>
    <w:rsid w:val="00113829"/>
    <w:rsid w:val="001A1EBC"/>
    <w:rsid w:val="001B42AE"/>
    <w:rsid w:val="00203FD2"/>
    <w:rsid w:val="00212304"/>
    <w:rsid w:val="00307906"/>
    <w:rsid w:val="003103F6"/>
    <w:rsid w:val="00315D2A"/>
    <w:rsid w:val="003918A7"/>
    <w:rsid w:val="003D77FC"/>
    <w:rsid w:val="00411323"/>
    <w:rsid w:val="00415582"/>
    <w:rsid w:val="0046346C"/>
    <w:rsid w:val="00492D70"/>
    <w:rsid w:val="00494EC4"/>
    <w:rsid w:val="00590738"/>
    <w:rsid w:val="005B0598"/>
    <w:rsid w:val="005E0650"/>
    <w:rsid w:val="006745F8"/>
    <w:rsid w:val="006B1F68"/>
    <w:rsid w:val="006F4780"/>
    <w:rsid w:val="0074547F"/>
    <w:rsid w:val="00760F74"/>
    <w:rsid w:val="00765830"/>
    <w:rsid w:val="007672A8"/>
    <w:rsid w:val="007E4515"/>
    <w:rsid w:val="0084249F"/>
    <w:rsid w:val="008A5533"/>
    <w:rsid w:val="0090124D"/>
    <w:rsid w:val="00913C42"/>
    <w:rsid w:val="00917AB2"/>
    <w:rsid w:val="00980698"/>
    <w:rsid w:val="009904AD"/>
    <w:rsid w:val="00A745A5"/>
    <w:rsid w:val="00A763FE"/>
    <w:rsid w:val="00A8082E"/>
    <w:rsid w:val="00AC4F3E"/>
    <w:rsid w:val="00AE3BF3"/>
    <w:rsid w:val="00B53AF3"/>
    <w:rsid w:val="00B56A1F"/>
    <w:rsid w:val="00B61526"/>
    <w:rsid w:val="00BA5C37"/>
    <w:rsid w:val="00BC1F62"/>
    <w:rsid w:val="00CA52BF"/>
    <w:rsid w:val="00D11291"/>
    <w:rsid w:val="00D75E62"/>
    <w:rsid w:val="00D92A8B"/>
    <w:rsid w:val="00DD16A5"/>
    <w:rsid w:val="00E23914"/>
    <w:rsid w:val="00E259D8"/>
    <w:rsid w:val="00E53A79"/>
    <w:rsid w:val="00EA3D34"/>
    <w:rsid w:val="00EA66A4"/>
    <w:rsid w:val="00EF1469"/>
    <w:rsid w:val="00F525E0"/>
    <w:rsid w:val="00F64F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486F"/>
  <w15:chartTrackingRefBased/>
  <w15:docId w15:val="{AB7D4577-E63E-49B1-8F2C-299BD719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56D"/>
    <w:pPr>
      <w:ind w:left="720"/>
      <w:contextualSpacing/>
    </w:pPr>
  </w:style>
  <w:style w:type="paragraph" w:styleId="NormalWeb">
    <w:name w:val="Normal (Web)"/>
    <w:basedOn w:val="Normal"/>
    <w:uiPriority w:val="99"/>
    <w:semiHidden/>
    <w:unhideWhenUsed/>
    <w:rsid w:val="000705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7056D"/>
    <w:rPr>
      <w:b/>
      <w:bCs/>
    </w:rPr>
  </w:style>
  <w:style w:type="character" w:styleId="Hyperlink">
    <w:name w:val="Hyperlink"/>
    <w:basedOn w:val="DefaultParagraphFont"/>
    <w:uiPriority w:val="99"/>
    <w:unhideWhenUsed/>
    <w:rsid w:val="0007056D"/>
    <w:rPr>
      <w:color w:val="0000FF"/>
      <w:u w:val="single"/>
    </w:rPr>
  </w:style>
  <w:style w:type="paragraph" w:styleId="ListBullet">
    <w:name w:val="List Bullet"/>
    <w:basedOn w:val="Normal"/>
    <w:uiPriority w:val="99"/>
    <w:unhideWhenUsed/>
    <w:rsid w:val="00913C42"/>
    <w:pPr>
      <w:numPr>
        <w:numId w:val="4"/>
      </w:numPr>
      <w:contextualSpacing/>
    </w:pPr>
  </w:style>
  <w:style w:type="character" w:styleId="UnresolvedMention">
    <w:name w:val="Unresolved Mention"/>
    <w:basedOn w:val="DefaultParagraphFont"/>
    <w:uiPriority w:val="99"/>
    <w:semiHidden/>
    <w:unhideWhenUsed/>
    <w:rsid w:val="00913C42"/>
    <w:rPr>
      <w:color w:val="605E5C"/>
      <w:shd w:val="clear" w:color="auto" w:fill="E1DFDD"/>
    </w:rPr>
  </w:style>
  <w:style w:type="table" w:styleId="TableGrid">
    <w:name w:val="Table Grid"/>
    <w:basedOn w:val="TableNormal"/>
    <w:uiPriority w:val="39"/>
    <w:rsid w:val="006F4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3F6"/>
  </w:style>
  <w:style w:type="paragraph" w:styleId="Footer">
    <w:name w:val="footer"/>
    <w:basedOn w:val="Normal"/>
    <w:link w:val="FooterChar"/>
    <w:uiPriority w:val="99"/>
    <w:unhideWhenUsed/>
    <w:rsid w:val="00310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8672">
      <w:bodyDiv w:val="1"/>
      <w:marLeft w:val="0"/>
      <w:marRight w:val="0"/>
      <w:marTop w:val="0"/>
      <w:marBottom w:val="0"/>
      <w:divBdr>
        <w:top w:val="none" w:sz="0" w:space="0" w:color="auto"/>
        <w:left w:val="none" w:sz="0" w:space="0" w:color="auto"/>
        <w:bottom w:val="none" w:sz="0" w:space="0" w:color="auto"/>
        <w:right w:val="none" w:sz="0" w:space="0" w:color="auto"/>
      </w:divBdr>
    </w:div>
    <w:div w:id="275908351">
      <w:bodyDiv w:val="1"/>
      <w:marLeft w:val="0"/>
      <w:marRight w:val="0"/>
      <w:marTop w:val="0"/>
      <w:marBottom w:val="0"/>
      <w:divBdr>
        <w:top w:val="none" w:sz="0" w:space="0" w:color="auto"/>
        <w:left w:val="none" w:sz="0" w:space="0" w:color="auto"/>
        <w:bottom w:val="none" w:sz="0" w:space="0" w:color="auto"/>
        <w:right w:val="none" w:sz="0" w:space="0" w:color="auto"/>
      </w:divBdr>
      <w:divsChild>
        <w:div w:id="800996297">
          <w:marLeft w:val="360"/>
          <w:marRight w:val="0"/>
          <w:marTop w:val="200"/>
          <w:marBottom w:val="0"/>
          <w:divBdr>
            <w:top w:val="none" w:sz="0" w:space="0" w:color="auto"/>
            <w:left w:val="none" w:sz="0" w:space="0" w:color="auto"/>
            <w:bottom w:val="none" w:sz="0" w:space="0" w:color="auto"/>
            <w:right w:val="none" w:sz="0" w:space="0" w:color="auto"/>
          </w:divBdr>
        </w:div>
        <w:div w:id="158083178">
          <w:marLeft w:val="360"/>
          <w:marRight w:val="0"/>
          <w:marTop w:val="200"/>
          <w:marBottom w:val="0"/>
          <w:divBdr>
            <w:top w:val="none" w:sz="0" w:space="0" w:color="auto"/>
            <w:left w:val="none" w:sz="0" w:space="0" w:color="auto"/>
            <w:bottom w:val="none" w:sz="0" w:space="0" w:color="auto"/>
            <w:right w:val="none" w:sz="0" w:space="0" w:color="auto"/>
          </w:divBdr>
        </w:div>
      </w:divsChild>
    </w:div>
    <w:div w:id="361588274">
      <w:bodyDiv w:val="1"/>
      <w:marLeft w:val="0"/>
      <w:marRight w:val="0"/>
      <w:marTop w:val="0"/>
      <w:marBottom w:val="0"/>
      <w:divBdr>
        <w:top w:val="none" w:sz="0" w:space="0" w:color="auto"/>
        <w:left w:val="none" w:sz="0" w:space="0" w:color="auto"/>
        <w:bottom w:val="none" w:sz="0" w:space="0" w:color="auto"/>
        <w:right w:val="none" w:sz="0" w:space="0" w:color="auto"/>
      </w:divBdr>
      <w:divsChild>
        <w:div w:id="445734277">
          <w:marLeft w:val="360"/>
          <w:marRight w:val="0"/>
          <w:marTop w:val="200"/>
          <w:marBottom w:val="0"/>
          <w:divBdr>
            <w:top w:val="none" w:sz="0" w:space="0" w:color="auto"/>
            <w:left w:val="none" w:sz="0" w:space="0" w:color="auto"/>
            <w:bottom w:val="none" w:sz="0" w:space="0" w:color="auto"/>
            <w:right w:val="none" w:sz="0" w:space="0" w:color="auto"/>
          </w:divBdr>
        </w:div>
        <w:div w:id="430466346">
          <w:marLeft w:val="360"/>
          <w:marRight w:val="0"/>
          <w:marTop w:val="200"/>
          <w:marBottom w:val="0"/>
          <w:divBdr>
            <w:top w:val="none" w:sz="0" w:space="0" w:color="auto"/>
            <w:left w:val="none" w:sz="0" w:space="0" w:color="auto"/>
            <w:bottom w:val="none" w:sz="0" w:space="0" w:color="auto"/>
            <w:right w:val="none" w:sz="0" w:space="0" w:color="auto"/>
          </w:divBdr>
        </w:div>
      </w:divsChild>
    </w:div>
    <w:div w:id="370807787">
      <w:bodyDiv w:val="1"/>
      <w:marLeft w:val="0"/>
      <w:marRight w:val="0"/>
      <w:marTop w:val="0"/>
      <w:marBottom w:val="0"/>
      <w:divBdr>
        <w:top w:val="none" w:sz="0" w:space="0" w:color="auto"/>
        <w:left w:val="none" w:sz="0" w:space="0" w:color="auto"/>
        <w:bottom w:val="none" w:sz="0" w:space="0" w:color="auto"/>
        <w:right w:val="none" w:sz="0" w:space="0" w:color="auto"/>
      </w:divBdr>
      <w:divsChild>
        <w:div w:id="79327758">
          <w:marLeft w:val="360"/>
          <w:marRight w:val="0"/>
          <w:marTop w:val="200"/>
          <w:marBottom w:val="0"/>
          <w:divBdr>
            <w:top w:val="none" w:sz="0" w:space="0" w:color="auto"/>
            <w:left w:val="none" w:sz="0" w:space="0" w:color="auto"/>
            <w:bottom w:val="none" w:sz="0" w:space="0" w:color="auto"/>
            <w:right w:val="none" w:sz="0" w:space="0" w:color="auto"/>
          </w:divBdr>
        </w:div>
        <w:div w:id="1786071277">
          <w:marLeft w:val="360"/>
          <w:marRight w:val="0"/>
          <w:marTop w:val="200"/>
          <w:marBottom w:val="0"/>
          <w:divBdr>
            <w:top w:val="none" w:sz="0" w:space="0" w:color="auto"/>
            <w:left w:val="none" w:sz="0" w:space="0" w:color="auto"/>
            <w:bottom w:val="none" w:sz="0" w:space="0" w:color="auto"/>
            <w:right w:val="none" w:sz="0" w:space="0" w:color="auto"/>
          </w:divBdr>
        </w:div>
        <w:div w:id="403260309">
          <w:marLeft w:val="360"/>
          <w:marRight w:val="0"/>
          <w:marTop w:val="200"/>
          <w:marBottom w:val="0"/>
          <w:divBdr>
            <w:top w:val="none" w:sz="0" w:space="0" w:color="auto"/>
            <w:left w:val="none" w:sz="0" w:space="0" w:color="auto"/>
            <w:bottom w:val="none" w:sz="0" w:space="0" w:color="auto"/>
            <w:right w:val="none" w:sz="0" w:space="0" w:color="auto"/>
          </w:divBdr>
        </w:div>
        <w:div w:id="1209730438">
          <w:marLeft w:val="360"/>
          <w:marRight w:val="0"/>
          <w:marTop w:val="200"/>
          <w:marBottom w:val="0"/>
          <w:divBdr>
            <w:top w:val="none" w:sz="0" w:space="0" w:color="auto"/>
            <w:left w:val="none" w:sz="0" w:space="0" w:color="auto"/>
            <w:bottom w:val="none" w:sz="0" w:space="0" w:color="auto"/>
            <w:right w:val="none" w:sz="0" w:space="0" w:color="auto"/>
          </w:divBdr>
        </w:div>
        <w:div w:id="1831679020">
          <w:marLeft w:val="360"/>
          <w:marRight w:val="0"/>
          <w:marTop w:val="200"/>
          <w:marBottom w:val="0"/>
          <w:divBdr>
            <w:top w:val="none" w:sz="0" w:space="0" w:color="auto"/>
            <w:left w:val="none" w:sz="0" w:space="0" w:color="auto"/>
            <w:bottom w:val="none" w:sz="0" w:space="0" w:color="auto"/>
            <w:right w:val="none" w:sz="0" w:space="0" w:color="auto"/>
          </w:divBdr>
        </w:div>
        <w:div w:id="483474160">
          <w:marLeft w:val="360"/>
          <w:marRight w:val="0"/>
          <w:marTop w:val="200"/>
          <w:marBottom w:val="0"/>
          <w:divBdr>
            <w:top w:val="none" w:sz="0" w:space="0" w:color="auto"/>
            <w:left w:val="none" w:sz="0" w:space="0" w:color="auto"/>
            <w:bottom w:val="none" w:sz="0" w:space="0" w:color="auto"/>
            <w:right w:val="none" w:sz="0" w:space="0" w:color="auto"/>
          </w:divBdr>
        </w:div>
        <w:div w:id="2015644641">
          <w:marLeft w:val="360"/>
          <w:marRight w:val="0"/>
          <w:marTop w:val="200"/>
          <w:marBottom w:val="0"/>
          <w:divBdr>
            <w:top w:val="none" w:sz="0" w:space="0" w:color="auto"/>
            <w:left w:val="none" w:sz="0" w:space="0" w:color="auto"/>
            <w:bottom w:val="none" w:sz="0" w:space="0" w:color="auto"/>
            <w:right w:val="none" w:sz="0" w:space="0" w:color="auto"/>
          </w:divBdr>
        </w:div>
      </w:divsChild>
    </w:div>
    <w:div w:id="506484364">
      <w:bodyDiv w:val="1"/>
      <w:marLeft w:val="0"/>
      <w:marRight w:val="0"/>
      <w:marTop w:val="0"/>
      <w:marBottom w:val="0"/>
      <w:divBdr>
        <w:top w:val="none" w:sz="0" w:space="0" w:color="auto"/>
        <w:left w:val="none" w:sz="0" w:space="0" w:color="auto"/>
        <w:bottom w:val="none" w:sz="0" w:space="0" w:color="auto"/>
        <w:right w:val="none" w:sz="0" w:space="0" w:color="auto"/>
      </w:divBdr>
    </w:div>
    <w:div w:id="628169980">
      <w:bodyDiv w:val="1"/>
      <w:marLeft w:val="0"/>
      <w:marRight w:val="0"/>
      <w:marTop w:val="0"/>
      <w:marBottom w:val="0"/>
      <w:divBdr>
        <w:top w:val="none" w:sz="0" w:space="0" w:color="auto"/>
        <w:left w:val="none" w:sz="0" w:space="0" w:color="auto"/>
        <w:bottom w:val="none" w:sz="0" w:space="0" w:color="auto"/>
        <w:right w:val="none" w:sz="0" w:space="0" w:color="auto"/>
      </w:divBdr>
      <w:divsChild>
        <w:div w:id="1316910613">
          <w:marLeft w:val="360"/>
          <w:marRight w:val="0"/>
          <w:marTop w:val="200"/>
          <w:marBottom w:val="0"/>
          <w:divBdr>
            <w:top w:val="none" w:sz="0" w:space="0" w:color="auto"/>
            <w:left w:val="none" w:sz="0" w:space="0" w:color="auto"/>
            <w:bottom w:val="none" w:sz="0" w:space="0" w:color="auto"/>
            <w:right w:val="none" w:sz="0" w:space="0" w:color="auto"/>
          </w:divBdr>
        </w:div>
        <w:div w:id="949706713">
          <w:marLeft w:val="360"/>
          <w:marRight w:val="0"/>
          <w:marTop w:val="200"/>
          <w:marBottom w:val="0"/>
          <w:divBdr>
            <w:top w:val="none" w:sz="0" w:space="0" w:color="auto"/>
            <w:left w:val="none" w:sz="0" w:space="0" w:color="auto"/>
            <w:bottom w:val="none" w:sz="0" w:space="0" w:color="auto"/>
            <w:right w:val="none" w:sz="0" w:space="0" w:color="auto"/>
          </w:divBdr>
        </w:div>
      </w:divsChild>
    </w:div>
    <w:div w:id="854147867">
      <w:bodyDiv w:val="1"/>
      <w:marLeft w:val="0"/>
      <w:marRight w:val="0"/>
      <w:marTop w:val="0"/>
      <w:marBottom w:val="0"/>
      <w:divBdr>
        <w:top w:val="none" w:sz="0" w:space="0" w:color="auto"/>
        <w:left w:val="none" w:sz="0" w:space="0" w:color="auto"/>
        <w:bottom w:val="none" w:sz="0" w:space="0" w:color="auto"/>
        <w:right w:val="none" w:sz="0" w:space="0" w:color="auto"/>
      </w:divBdr>
      <w:divsChild>
        <w:div w:id="962879789">
          <w:marLeft w:val="360"/>
          <w:marRight w:val="0"/>
          <w:marTop w:val="200"/>
          <w:marBottom w:val="0"/>
          <w:divBdr>
            <w:top w:val="none" w:sz="0" w:space="0" w:color="auto"/>
            <w:left w:val="none" w:sz="0" w:space="0" w:color="auto"/>
            <w:bottom w:val="none" w:sz="0" w:space="0" w:color="auto"/>
            <w:right w:val="none" w:sz="0" w:space="0" w:color="auto"/>
          </w:divBdr>
        </w:div>
      </w:divsChild>
    </w:div>
    <w:div w:id="912935972">
      <w:bodyDiv w:val="1"/>
      <w:marLeft w:val="0"/>
      <w:marRight w:val="0"/>
      <w:marTop w:val="0"/>
      <w:marBottom w:val="0"/>
      <w:divBdr>
        <w:top w:val="none" w:sz="0" w:space="0" w:color="auto"/>
        <w:left w:val="none" w:sz="0" w:space="0" w:color="auto"/>
        <w:bottom w:val="none" w:sz="0" w:space="0" w:color="auto"/>
        <w:right w:val="none" w:sz="0" w:space="0" w:color="auto"/>
      </w:divBdr>
    </w:div>
    <w:div w:id="943611262">
      <w:bodyDiv w:val="1"/>
      <w:marLeft w:val="0"/>
      <w:marRight w:val="0"/>
      <w:marTop w:val="0"/>
      <w:marBottom w:val="0"/>
      <w:divBdr>
        <w:top w:val="none" w:sz="0" w:space="0" w:color="auto"/>
        <w:left w:val="none" w:sz="0" w:space="0" w:color="auto"/>
        <w:bottom w:val="none" w:sz="0" w:space="0" w:color="auto"/>
        <w:right w:val="none" w:sz="0" w:space="0" w:color="auto"/>
      </w:divBdr>
    </w:div>
    <w:div w:id="1088232599">
      <w:bodyDiv w:val="1"/>
      <w:marLeft w:val="0"/>
      <w:marRight w:val="0"/>
      <w:marTop w:val="0"/>
      <w:marBottom w:val="0"/>
      <w:divBdr>
        <w:top w:val="none" w:sz="0" w:space="0" w:color="auto"/>
        <w:left w:val="none" w:sz="0" w:space="0" w:color="auto"/>
        <w:bottom w:val="none" w:sz="0" w:space="0" w:color="auto"/>
        <w:right w:val="none" w:sz="0" w:space="0" w:color="auto"/>
      </w:divBdr>
    </w:div>
    <w:div w:id="1224176795">
      <w:bodyDiv w:val="1"/>
      <w:marLeft w:val="0"/>
      <w:marRight w:val="0"/>
      <w:marTop w:val="0"/>
      <w:marBottom w:val="0"/>
      <w:divBdr>
        <w:top w:val="none" w:sz="0" w:space="0" w:color="auto"/>
        <w:left w:val="none" w:sz="0" w:space="0" w:color="auto"/>
        <w:bottom w:val="none" w:sz="0" w:space="0" w:color="auto"/>
        <w:right w:val="none" w:sz="0" w:space="0" w:color="auto"/>
      </w:divBdr>
      <w:divsChild>
        <w:div w:id="1131557189">
          <w:marLeft w:val="360"/>
          <w:marRight w:val="0"/>
          <w:marTop w:val="200"/>
          <w:marBottom w:val="0"/>
          <w:divBdr>
            <w:top w:val="none" w:sz="0" w:space="0" w:color="auto"/>
            <w:left w:val="none" w:sz="0" w:space="0" w:color="auto"/>
            <w:bottom w:val="none" w:sz="0" w:space="0" w:color="auto"/>
            <w:right w:val="none" w:sz="0" w:space="0" w:color="auto"/>
          </w:divBdr>
        </w:div>
        <w:div w:id="1370106861">
          <w:marLeft w:val="360"/>
          <w:marRight w:val="0"/>
          <w:marTop w:val="200"/>
          <w:marBottom w:val="0"/>
          <w:divBdr>
            <w:top w:val="none" w:sz="0" w:space="0" w:color="auto"/>
            <w:left w:val="none" w:sz="0" w:space="0" w:color="auto"/>
            <w:bottom w:val="none" w:sz="0" w:space="0" w:color="auto"/>
            <w:right w:val="none" w:sz="0" w:space="0" w:color="auto"/>
          </w:divBdr>
        </w:div>
      </w:divsChild>
    </w:div>
    <w:div w:id="1226840162">
      <w:bodyDiv w:val="1"/>
      <w:marLeft w:val="0"/>
      <w:marRight w:val="0"/>
      <w:marTop w:val="0"/>
      <w:marBottom w:val="0"/>
      <w:divBdr>
        <w:top w:val="none" w:sz="0" w:space="0" w:color="auto"/>
        <w:left w:val="none" w:sz="0" w:space="0" w:color="auto"/>
        <w:bottom w:val="none" w:sz="0" w:space="0" w:color="auto"/>
        <w:right w:val="none" w:sz="0" w:space="0" w:color="auto"/>
      </w:divBdr>
      <w:divsChild>
        <w:div w:id="282601">
          <w:marLeft w:val="360"/>
          <w:marRight w:val="0"/>
          <w:marTop w:val="200"/>
          <w:marBottom w:val="0"/>
          <w:divBdr>
            <w:top w:val="none" w:sz="0" w:space="0" w:color="auto"/>
            <w:left w:val="none" w:sz="0" w:space="0" w:color="auto"/>
            <w:bottom w:val="none" w:sz="0" w:space="0" w:color="auto"/>
            <w:right w:val="none" w:sz="0" w:space="0" w:color="auto"/>
          </w:divBdr>
        </w:div>
      </w:divsChild>
    </w:div>
    <w:div w:id="1289898056">
      <w:bodyDiv w:val="1"/>
      <w:marLeft w:val="0"/>
      <w:marRight w:val="0"/>
      <w:marTop w:val="0"/>
      <w:marBottom w:val="0"/>
      <w:divBdr>
        <w:top w:val="none" w:sz="0" w:space="0" w:color="auto"/>
        <w:left w:val="none" w:sz="0" w:space="0" w:color="auto"/>
        <w:bottom w:val="none" w:sz="0" w:space="0" w:color="auto"/>
        <w:right w:val="none" w:sz="0" w:space="0" w:color="auto"/>
      </w:divBdr>
    </w:div>
    <w:div w:id="1518542805">
      <w:bodyDiv w:val="1"/>
      <w:marLeft w:val="0"/>
      <w:marRight w:val="0"/>
      <w:marTop w:val="0"/>
      <w:marBottom w:val="0"/>
      <w:divBdr>
        <w:top w:val="none" w:sz="0" w:space="0" w:color="auto"/>
        <w:left w:val="none" w:sz="0" w:space="0" w:color="auto"/>
        <w:bottom w:val="none" w:sz="0" w:space="0" w:color="auto"/>
        <w:right w:val="none" w:sz="0" w:space="0" w:color="auto"/>
      </w:divBdr>
      <w:divsChild>
        <w:div w:id="2071951898">
          <w:marLeft w:val="360"/>
          <w:marRight w:val="0"/>
          <w:marTop w:val="200"/>
          <w:marBottom w:val="0"/>
          <w:divBdr>
            <w:top w:val="none" w:sz="0" w:space="0" w:color="auto"/>
            <w:left w:val="none" w:sz="0" w:space="0" w:color="auto"/>
            <w:bottom w:val="none" w:sz="0" w:space="0" w:color="auto"/>
            <w:right w:val="none" w:sz="0" w:space="0" w:color="auto"/>
          </w:divBdr>
        </w:div>
      </w:divsChild>
    </w:div>
    <w:div w:id="1829396315">
      <w:bodyDiv w:val="1"/>
      <w:marLeft w:val="0"/>
      <w:marRight w:val="0"/>
      <w:marTop w:val="0"/>
      <w:marBottom w:val="0"/>
      <w:divBdr>
        <w:top w:val="none" w:sz="0" w:space="0" w:color="auto"/>
        <w:left w:val="none" w:sz="0" w:space="0" w:color="auto"/>
        <w:bottom w:val="none" w:sz="0" w:space="0" w:color="auto"/>
        <w:right w:val="none" w:sz="0" w:space="0" w:color="auto"/>
      </w:divBdr>
    </w:div>
    <w:div w:id="1931769589">
      <w:bodyDiv w:val="1"/>
      <w:marLeft w:val="0"/>
      <w:marRight w:val="0"/>
      <w:marTop w:val="0"/>
      <w:marBottom w:val="0"/>
      <w:divBdr>
        <w:top w:val="none" w:sz="0" w:space="0" w:color="auto"/>
        <w:left w:val="none" w:sz="0" w:space="0" w:color="auto"/>
        <w:bottom w:val="none" w:sz="0" w:space="0" w:color="auto"/>
        <w:right w:val="none" w:sz="0" w:space="0" w:color="auto"/>
      </w:divBdr>
      <w:divsChild>
        <w:div w:id="1507406402">
          <w:marLeft w:val="360"/>
          <w:marRight w:val="0"/>
          <w:marTop w:val="200"/>
          <w:marBottom w:val="0"/>
          <w:divBdr>
            <w:top w:val="none" w:sz="0" w:space="0" w:color="auto"/>
            <w:left w:val="none" w:sz="0" w:space="0" w:color="auto"/>
            <w:bottom w:val="none" w:sz="0" w:space="0" w:color="auto"/>
            <w:right w:val="none" w:sz="0" w:space="0" w:color="auto"/>
          </w:divBdr>
        </w:div>
        <w:div w:id="829058407">
          <w:marLeft w:val="360"/>
          <w:marRight w:val="0"/>
          <w:marTop w:val="200"/>
          <w:marBottom w:val="0"/>
          <w:divBdr>
            <w:top w:val="none" w:sz="0" w:space="0" w:color="auto"/>
            <w:left w:val="none" w:sz="0" w:space="0" w:color="auto"/>
            <w:bottom w:val="none" w:sz="0" w:space="0" w:color="auto"/>
            <w:right w:val="none" w:sz="0" w:space="0" w:color="auto"/>
          </w:divBdr>
        </w:div>
        <w:div w:id="340160305">
          <w:marLeft w:val="360"/>
          <w:marRight w:val="0"/>
          <w:marTop w:val="200"/>
          <w:marBottom w:val="0"/>
          <w:divBdr>
            <w:top w:val="none" w:sz="0" w:space="0" w:color="auto"/>
            <w:left w:val="none" w:sz="0" w:space="0" w:color="auto"/>
            <w:bottom w:val="none" w:sz="0" w:space="0" w:color="auto"/>
            <w:right w:val="none" w:sz="0" w:space="0" w:color="auto"/>
          </w:divBdr>
        </w:div>
        <w:div w:id="201136816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atrick.Hayes@lloyds.com" TargetMode="External"/><Relationship Id="rId2" Type="http://schemas.openxmlformats.org/officeDocument/2006/relationships/styles" Target="styles.xml"/><Relationship Id="rId16" Type="http://schemas.openxmlformats.org/officeDocument/2006/relationships/hyperlink" Target="mailto:info@lloyds.ca"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0F2F033D37243916F9356D7DCEE31" ma:contentTypeVersion="15" ma:contentTypeDescription="Create a new document." ma:contentTypeScope="" ma:versionID="a37cccb531b3426639a4627c870bc73a">
  <xsd:schema xmlns:xsd="http://www.w3.org/2001/XMLSchema" xmlns:xs="http://www.w3.org/2001/XMLSchema" xmlns:p="http://schemas.microsoft.com/office/2006/metadata/properties" xmlns:ns2="649cc1a6-e6c0-482f-9b7f-672dada319e5" xmlns:ns3="df1a03cf-b34f-4175-b3d8-0105299cc7fb" targetNamespace="http://schemas.microsoft.com/office/2006/metadata/properties" ma:root="true" ma:fieldsID="c0cb32e824f07251760e36a1ec445f0b" ns2:_="" ns3:_="">
    <xsd:import namespace="649cc1a6-e6c0-482f-9b7f-672dada319e5"/>
    <xsd:import namespace="df1a03cf-b34f-4175-b3d8-0105299cc7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cc1a6-e6c0-482f-9b7f-672dada31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1a03cf-b34f-4175-b3d8-0105299cc7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bcd36b-49ed-4976-9562-a606f65c6df3}" ma:internalName="TaxCatchAll" ma:showField="CatchAllData" ma:web="df1a03cf-b34f-4175-b3d8-0105299cc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F81FA-DA30-458F-BAFE-1056D99F5642}"/>
</file>

<file path=customXml/itemProps2.xml><?xml version="1.0" encoding="utf-8"?>
<ds:datastoreItem xmlns:ds="http://schemas.openxmlformats.org/officeDocument/2006/customXml" ds:itemID="{1A00FD04-F6D8-4B4C-B1BC-50C1BF7C5264}"/>
</file>

<file path=docProps/app.xml><?xml version="1.0" encoding="utf-8"?>
<Properties xmlns="http://schemas.openxmlformats.org/officeDocument/2006/extended-properties" xmlns:vt="http://schemas.openxmlformats.org/officeDocument/2006/docPropsVTypes">
  <Template>Normal</Template>
  <TotalTime>1199</TotalTime>
  <Pages>15</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TELUS</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Haji</dc:creator>
  <cp:keywords/>
  <dc:description/>
  <cp:lastModifiedBy>Hassell, Maria Clara</cp:lastModifiedBy>
  <cp:revision>44</cp:revision>
  <dcterms:created xsi:type="dcterms:W3CDTF">2023-03-01T15:40:00Z</dcterms:created>
  <dcterms:modified xsi:type="dcterms:W3CDTF">2023-03-08T09:25:00Z</dcterms:modified>
</cp:coreProperties>
</file>